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5524F7">
      <w:pPr>
        <w:keepNext w:val="0"/>
        <w:keepLines w:val="0"/>
        <w:pageBreakBefore w:val="0"/>
        <w:widowControl w:val="0"/>
        <w:kinsoku/>
        <w:wordWrap w:val="0"/>
        <w:overflowPunct/>
        <w:topLinePunct w:val="0"/>
        <w:autoSpaceDE/>
        <w:autoSpaceDN/>
        <w:bidi w:val="0"/>
        <w:spacing w:line="360" w:lineRule="auto"/>
        <w:ind w:left="0" w:leftChars="0" w:firstLine="0" w:firstLineChars="0"/>
        <w:jc w:val="left"/>
        <w:textAlignment w:val="auto"/>
        <w:rPr>
          <w:rFonts w:hint="eastAsia" w:ascii="方正黑体_GBK" w:hAnsi="方正黑体_GBK" w:eastAsia="方正黑体_GBK" w:cs="方正黑体_GBK"/>
          <w:b w:val="0"/>
          <w:bCs/>
          <w:color w:val="auto"/>
          <w:kern w:val="2"/>
          <w:sz w:val="44"/>
          <w:szCs w:val="52"/>
          <w:highlight w:val="none"/>
          <w:lang w:val="en-US" w:eastAsia="zh-CN" w:bidi="ar-SA"/>
        </w:rPr>
      </w:pPr>
      <w:r>
        <w:rPr>
          <w:rFonts w:hint="eastAsia" w:ascii="方正黑体_GBK" w:hAnsi="方正黑体_GBK" w:eastAsia="方正黑体_GBK" w:cs="方正黑体_GBK"/>
          <w:b w:val="0"/>
          <w:bCs/>
          <w:color w:val="auto"/>
          <w:kern w:val="2"/>
          <w:sz w:val="44"/>
          <w:szCs w:val="52"/>
          <w:highlight w:val="none"/>
          <w:lang w:val="en-US" w:eastAsia="zh-CN" w:bidi="ar-SA"/>
        </w:rPr>
        <w:t>附件2：</w:t>
      </w:r>
    </w:p>
    <w:p w14:paraId="6B555F97">
      <w:pPr>
        <w:keepNext w:val="0"/>
        <w:keepLines w:val="0"/>
        <w:pageBreakBefore w:val="0"/>
        <w:widowControl w:val="0"/>
        <w:kinsoku/>
        <w:wordWrap w:val="0"/>
        <w:overflowPunct/>
        <w:topLinePunct w:val="0"/>
        <w:autoSpaceDE/>
        <w:autoSpaceDN/>
        <w:bidi w:val="0"/>
        <w:spacing w:line="360" w:lineRule="auto"/>
        <w:ind w:left="0" w:leftChars="0" w:firstLine="0" w:firstLineChars="0"/>
        <w:jc w:val="center"/>
        <w:textAlignment w:val="auto"/>
        <w:rPr>
          <w:rFonts w:hint="eastAsia" w:ascii="仿宋" w:hAnsi="仿宋" w:eastAsia="仿宋" w:cs="仿宋"/>
          <w:b/>
          <w:color w:val="auto"/>
          <w:kern w:val="2"/>
          <w:sz w:val="44"/>
          <w:szCs w:val="52"/>
          <w:highlight w:val="none"/>
          <w:lang w:val="en-US" w:eastAsia="zh-CN" w:bidi="ar-SA"/>
        </w:rPr>
      </w:pPr>
      <w:r>
        <w:rPr>
          <w:rFonts w:hint="eastAsia" w:ascii="仿宋" w:hAnsi="仿宋" w:eastAsia="仿宋" w:cs="仿宋"/>
          <w:b/>
          <w:color w:val="auto"/>
          <w:kern w:val="2"/>
          <w:sz w:val="44"/>
          <w:szCs w:val="52"/>
          <w:highlight w:val="none"/>
          <w:lang w:val="en-US" w:eastAsia="zh-CN" w:bidi="ar-SA"/>
        </w:rPr>
        <w:t>项目名称：大足区新就业群体党群服务中心装修建设项目</w:t>
      </w:r>
    </w:p>
    <w:p w14:paraId="7D50436C">
      <w:pPr>
        <w:pageBreakBefore w:val="0"/>
        <w:kinsoku/>
        <w:topLinePunct w:val="0"/>
        <w:bidi w:val="0"/>
        <w:spacing w:line="360" w:lineRule="auto"/>
        <w:rPr>
          <w:rFonts w:hint="eastAsia" w:ascii="宋体" w:hAnsi="宋体" w:eastAsia="仿宋" w:cs="宋体"/>
          <w:sz w:val="32"/>
          <w:szCs w:val="32"/>
          <w:lang w:val="en-US" w:eastAsia="zh-CN"/>
        </w:rPr>
      </w:pPr>
      <w:r>
        <w:rPr>
          <w:rFonts w:hint="eastAsia" w:ascii="宋体" w:hAnsi="宋体" w:eastAsia="仿宋" w:cs="宋体"/>
          <w:sz w:val="32"/>
          <w:szCs w:val="32"/>
          <w:lang w:val="en-US" w:eastAsia="zh-CN"/>
        </w:rPr>
        <w:t xml:space="preserve"> </w:t>
      </w:r>
    </w:p>
    <w:p w14:paraId="7B0678CB">
      <w:pPr>
        <w:pStyle w:val="35"/>
        <w:pageBreakBefore w:val="0"/>
        <w:kinsoku/>
        <w:topLinePunct w:val="0"/>
        <w:bidi w:val="0"/>
        <w:spacing w:line="360" w:lineRule="auto"/>
        <w:rPr>
          <w:rFonts w:hint="eastAsia"/>
          <w:lang w:eastAsia="zh-CN"/>
        </w:rPr>
      </w:pPr>
    </w:p>
    <w:p w14:paraId="6B1B4E4F">
      <w:pPr>
        <w:pageBreakBefore w:val="0"/>
        <w:kinsoku/>
        <w:topLinePunct w:val="0"/>
        <w:bidi w:val="0"/>
        <w:spacing w:line="360" w:lineRule="auto"/>
        <w:rPr>
          <w:rFonts w:hint="eastAsia" w:ascii="仿宋" w:hAnsi="仿宋" w:eastAsia="仿宋" w:cs="仿宋"/>
          <w:color w:val="auto"/>
          <w:highlight w:val="none"/>
        </w:rPr>
      </w:pPr>
    </w:p>
    <w:p w14:paraId="2BA7C0D6">
      <w:pPr>
        <w:pStyle w:val="5"/>
        <w:pageBreakBefore w:val="0"/>
        <w:kinsoku/>
        <w:topLinePunct w:val="0"/>
        <w:bidi w:val="0"/>
        <w:spacing w:line="360" w:lineRule="auto"/>
        <w:jc w:val="both"/>
        <w:outlineLvl w:val="9"/>
        <w:rPr>
          <w:rFonts w:hint="eastAsia" w:ascii="仿宋" w:hAnsi="仿宋" w:eastAsia="仿宋" w:cs="仿宋"/>
          <w:color w:val="auto"/>
          <w:highlight w:val="none"/>
        </w:rPr>
      </w:pPr>
      <w:bookmarkStart w:id="0" w:name="_Toc109721475"/>
      <w:bookmarkStart w:id="1" w:name="_Toc110328768"/>
      <w:bookmarkStart w:id="2" w:name="_Toc110443976"/>
      <w:bookmarkStart w:id="3" w:name="_Toc110000690"/>
      <w:bookmarkStart w:id="4" w:name="_Toc17688"/>
    </w:p>
    <w:p w14:paraId="6D4D2B76">
      <w:pPr>
        <w:pStyle w:val="2"/>
        <w:pageBreakBefore w:val="0"/>
        <w:kinsoku/>
        <w:topLinePunct w:val="0"/>
        <w:bidi w:val="0"/>
        <w:spacing w:line="360" w:lineRule="auto"/>
        <w:rPr>
          <w:rFonts w:hint="eastAsia"/>
          <w:color w:val="auto"/>
        </w:rPr>
      </w:pPr>
    </w:p>
    <w:p w14:paraId="22851900">
      <w:pPr>
        <w:pageBreakBefore w:val="0"/>
        <w:kinsoku/>
        <w:topLinePunct w:val="0"/>
        <w:bidi w:val="0"/>
        <w:spacing w:line="360" w:lineRule="auto"/>
        <w:jc w:val="center"/>
        <w:outlineLvl w:val="0"/>
        <w:rPr>
          <w:rFonts w:hint="eastAsia" w:ascii="仿宋" w:hAnsi="仿宋" w:eastAsia="仿宋" w:cs="仿宋"/>
          <w:color w:val="auto"/>
          <w:highlight w:val="none"/>
        </w:rPr>
      </w:pPr>
      <w:bookmarkStart w:id="5" w:name="_Toc16443"/>
      <w:bookmarkStart w:id="6" w:name="_Toc18063"/>
      <w:r>
        <w:rPr>
          <w:rFonts w:hint="eastAsia" w:ascii="仿宋" w:hAnsi="仿宋" w:eastAsia="仿宋" w:cs="仿宋"/>
          <w:b/>
          <w:bCs/>
          <w:color w:val="auto"/>
          <w:spacing w:val="0"/>
          <w:w w:val="90"/>
          <w:sz w:val="90"/>
          <w:szCs w:val="90"/>
          <w:highlight w:val="none"/>
          <w:lang w:eastAsia="zh-CN"/>
        </w:rPr>
        <w:t>竞争性比选</w:t>
      </w:r>
      <w:r>
        <w:rPr>
          <w:rFonts w:hint="eastAsia" w:ascii="仿宋" w:hAnsi="仿宋" w:eastAsia="仿宋" w:cs="仿宋"/>
          <w:b/>
          <w:bCs/>
          <w:color w:val="auto"/>
          <w:spacing w:val="0"/>
          <w:w w:val="90"/>
          <w:sz w:val="90"/>
          <w:szCs w:val="90"/>
          <w:highlight w:val="none"/>
        </w:rPr>
        <w:t>文件</w:t>
      </w:r>
      <w:bookmarkEnd w:id="0"/>
      <w:bookmarkEnd w:id="1"/>
      <w:bookmarkEnd w:id="2"/>
      <w:bookmarkEnd w:id="3"/>
      <w:bookmarkEnd w:id="4"/>
      <w:bookmarkEnd w:id="5"/>
      <w:bookmarkEnd w:id="6"/>
    </w:p>
    <w:p w14:paraId="2B80FDD6">
      <w:pPr>
        <w:pStyle w:val="2"/>
        <w:pageBreakBefore w:val="0"/>
        <w:kinsoku/>
        <w:topLinePunct w:val="0"/>
        <w:bidi w:val="0"/>
        <w:spacing w:line="360" w:lineRule="auto"/>
        <w:rPr>
          <w:rFonts w:hint="eastAsia" w:ascii="仿宋" w:hAnsi="仿宋" w:eastAsia="仿宋" w:cs="仿宋"/>
          <w:color w:val="auto"/>
          <w:highlight w:val="none"/>
        </w:rPr>
      </w:pPr>
    </w:p>
    <w:p w14:paraId="1853DBE9">
      <w:pPr>
        <w:pageBreakBefore w:val="0"/>
        <w:kinsoku/>
        <w:topLinePunct w:val="0"/>
        <w:bidi w:val="0"/>
        <w:spacing w:line="360" w:lineRule="auto"/>
        <w:rPr>
          <w:rFonts w:hint="eastAsia" w:ascii="仿宋" w:hAnsi="仿宋" w:eastAsia="仿宋" w:cs="仿宋"/>
          <w:color w:val="auto"/>
          <w:highlight w:val="none"/>
        </w:rPr>
      </w:pPr>
    </w:p>
    <w:p w14:paraId="16E656CB">
      <w:pPr>
        <w:pStyle w:val="2"/>
        <w:pageBreakBefore w:val="0"/>
        <w:kinsoku/>
        <w:topLinePunct w:val="0"/>
        <w:bidi w:val="0"/>
        <w:spacing w:line="360" w:lineRule="auto"/>
        <w:rPr>
          <w:rFonts w:hint="eastAsia" w:ascii="仿宋" w:hAnsi="仿宋" w:eastAsia="仿宋" w:cs="仿宋"/>
          <w:color w:val="auto"/>
          <w:highlight w:val="none"/>
        </w:rPr>
      </w:pPr>
    </w:p>
    <w:p w14:paraId="7654D58E">
      <w:pPr>
        <w:pageBreakBefore w:val="0"/>
        <w:kinsoku/>
        <w:topLinePunct w:val="0"/>
        <w:bidi w:val="0"/>
        <w:spacing w:line="360" w:lineRule="auto"/>
        <w:rPr>
          <w:rFonts w:hint="eastAsia" w:ascii="仿宋" w:hAnsi="仿宋" w:eastAsia="仿宋" w:cs="仿宋"/>
          <w:color w:val="auto"/>
          <w:highlight w:val="none"/>
        </w:rPr>
      </w:pPr>
    </w:p>
    <w:p w14:paraId="5A84130B">
      <w:pPr>
        <w:pStyle w:val="2"/>
        <w:pageBreakBefore w:val="0"/>
        <w:kinsoku/>
        <w:topLinePunct w:val="0"/>
        <w:bidi w:val="0"/>
        <w:spacing w:line="360" w:lineRule="auto"/>
        <w:rPr>
          <w:rFonts w:hint="eastAsia"/>
          <w:color w:val="auto"/>
        </w:rPr>
      </w:pPr>
    </w:p>
    <w:p w14:paraId="10C477BE">
      <w:pPr>
        <w:pStyle w:val="57"/>
        <w:pageBreakBefore w:val="0"/>
        <w:kinsoku/>
        <w:topLinePunct w:val="0"/>
        <w:bidi w:val="0"/>
        <w:spacing w:line="360" w:lineRule="auto"/>
        <w:rPr>
          <w:rFonts w:hint="eastAsia" w:ascii="仿宋" w:hAnsi="仿宋" w:eastAsia="仿宋" w:cs="仿宋"/>
          <w:color w:val="auto"/>
          <w:highlight w:val="none"/>
        </w:rPr>
      </w:pPr>
    </w:p>
    <w:p w14:paraId="38C67733">
      <w:pPr>
        <w:keepNext w:val="0"/>
        <w:keepLines w:val="0"/>
        <w:pageBreakBefore w:val="0"/>
        <w:widowControl w:val="0"/>
        <w:kinsoku/>
        <w:wordWrap w:val="0"/>
        <w:overflowPunct/>
        <w:topLinePunct w:val="0"/>
        <w:autoSpaceDE/>
        <w:autoSpaceDN/>
        <w:bidi w:val="0"/>
        <w:spacing w:line="360" w:lineRule="auto"/>
        <w:ind w:firstLine="964" w:firstLineChars="300"/>
        <w:jc w:val="both"/>
        <w:textAlignment w:val="auto"/>
        <w:outlineLvl w:val="0"/>
        <w:rPr>
          <w:rFonts w:hint="eastAsia"/>
          <w:lang w:val="en-US" w:eastAsia="zh-CN"/>
        </w:rPr>
      </w:pPr>
      <w:r>
        <w:rPr>
          <w:rFonts w:hint="eastAsia" w:ascii="仿宋" w:hAnsi="仿宋" w:eastAsia="仿宋" w:cs="仿宋"/>
          <w:b/>
          <w:color w:val="auto"/>
          <w:kern w:val="2"/>
          <w:sz w:val="32"/>
          <w:szCs w:val="40"/>
          <w:highlight w:val="none"/>
          <w:lang w:val="en-US" w:eastAsia="zh-CN" w:bidi="ar-SA"/>
        </w:rPr>
        <w:t>采   购   人：中共重庆市大足区委社会工作部</w:t>
      </w:r>
    </w:p>
    <w:p w14:paraId="3D2DD52B">
      <w:pPr>
        <w:keepNext w:val="0"/>
        <w:keepLines w:val="0"/>
        <w:pageBreakBefore w:val="0"/>
        <w:widowControl w:val="0"/>
        <w:kinsoku/>
        <w:wordWrap w:val="0"/>
        <w:overflowPunct/>
        <w:topLinePunct w:val="0"/>
        <w:autoSpaceDE/>
        <w:autoSpaceDN/>
        <w:bidi w:val="0"/>
        <w:spacing w:line="360" w:lineRule="auto"/>
        <w:ind w:firstLine="964" w:firstLineChars="300"/>
        <w:jc w:val="both"/>
        <w:textAlignment w:val="auto"/>
        <w:outlineLvl w:val="0"/>
        <w:rPr>
          <w:rFonts w:hint="eastAsia"/>
          <w:lang w:val="en-US" w:eastAsia="zh-CN"/>
        </w:rPr>
      </w:pPr>
      <w:r>
        <w:rPr>
          <w:rFonts w:hint="eastAsia" w:ascii="仿宋" w:hAnsi="仿宋" w:eastAsia="仿宋" w:cs="仿宋"/>
          <w:b/>
          <w:color w:val="auto"/>
          <w:kern w:val="2"/>
          <w:sz w:val="32"/>
          <w:szCs w:val="40"/>
          <w:highlight w:val="none"/>
          <w:lang w:val="en-US" w:eastAsia="zh-CN" w:bidi="ar-SA"/>
        </w:rPr>
        <w:t>代  理 机 构：中崟工程项目管理有限公司</w:t>
      </w:r>
    </w:p>
    <w:p w14:paraId="24C79CA8">
      <w:pPr>
        <w:keepNext w:val="0"/>
        <w:keepLines w:val="0"/>
        <w:pageBreakBefore w:val="0"/>
        <w:widowControl w:val="0"/>
        <w:kinsoku/>
        <w:wordWrap w:val="0"/>
        <w:overflowPunct/>
        <w:topLinePunct w:val="0"/>
        <w:autoSpaceDE/>
        <w:autoSpaceDN/>
        <w:bidi w:val="0"/>
        <w:spacing w:line="360" w:lineRule="auto"/>
        <w:ind w:firstLine="964" w:firstLineChars="300"/>
        <w:jc w:val="both"/>
        <w:textAlignment w:val="auto"/>
        <w:rPr>
          <w:rFonts w:hint="eastAsia" w:ascii="仿宋" w:hAnsi="仿宋" w:eastAsia="仿宋" w:cs="仿宋"/>
          <w:b/>
          <w:color w:val="auto"/>
          <w:kern w:val="2"/>
          <w:sz w:val="32"/>
          <w:szCs w:val="40"/>
          <w:highlight w:val="none"/>
          <w:lang w:val="en-US" w:eastAsia="zh-CN" w:bidi="ar-SA"/>
        </w:rPr>
        <w:sectPr>
          <w:headerReference r:id="rId3" w:type="default"/>
          <w:footerReference r:id="rId4" w:type="default"/>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cs="仿宋"/>
          <w:b/>
          <w:color w:val="auto"/>
          <w:kern w:val="2"/>
          <w:sz w:val="32"/>
          <w:szCs w:val="40"/>
          <w:highlight w:val="none"/>
          <w:lang w:val="en-US" w:eastAsia="zh-CN" w:bidi="ar-SA"/>
        </w:rPr>
        <w:t xml:space="preserve">编 </w:t>
      </w:r>
      <w:r>
        <w:rPr>
          <w:rFonts w:hint="eastAsia" w:ascii="仿宋" w:hAnsi="仿宋" w:eastAsia="仿宋" w:cs="仿宋"/>
          <w:b/>
          <w:color w:val="auto"/>
          <w:kern w:val="2"/>
          <w:sz w:val="32"/>
          <w:szCs w:val="40"/>
          <w:highlight w:val="none"/>
          <w:lang w:val="en-US" w:eastAsia="zh-CN" w:bidi="ar-SA"/>
        </w:rPr>
        <w:tab/>
      </w:r>
      <w:r>
        <w:rPr>
          <w:rFonts w:hint="eastAsia" w:ascii="仿宋" w:hAnsi="仿宋" w:eastAsia="仿宋" w:cs="仿宋"/>
          <w:b/>
          <w:color w:val="auto"/>
          <w:kern w:val="2"/>
          <w:sz w:val="32"/>
          <w:szCs w:val="40"/>
          <w:highlight w:val="none"/>
          <w:lang w:val="en-US" w:eastAsia="zh-CN" w:bidi="ar-SA"/>
        </w:rPr>
        <w:t>制 时 间：</w:t>
      </w:r>
      <w:r>
        <w:rPr>
          <w:rFonts w:hint="eastAsia" w:ascii="仿宋" w:hAnsi="仿宋" w:eastAsia="仿宋" w:cs="仿宋"/>
          <w:b/>
          <w:color w:val="auto"/>
          <w:kern w:val="2"/>
          <w:sz w:val="32"/>
          <w:szCs w:val="40"/>
          <w:highlight w:val="none"/>
          <w:lang w:val="en-US" w:eastAsia="zh-CN" w:bidi="ar-SA"/>
        </w:rPr>
        <w:tab/>
      </w:r>
      <w:r>
        <w:rPr>
          <w:rFonts w:hint="eastAsia" w:ascii="仿宋" w:hAnsi="仿宋" w:eastAsia="仿宋" w:cs="仿宋"/>
          <w:b/>
          <w:color w:val="auto"/>
          <w:kern w:val="2"/>
          <w:sz w:val="32"/>
          <w:szCs w:val="40"/>
          <w:highlight w:val="none"/>
          <w:lang w:val="en-US" w:eastAsia="zh-CN" w:bidi="ar-SA"/>
        </w:rPr>
        <w:t>2026年04月</w:t>
      </w:r>
    </w:p>
    <w:p w14:paraId="429F30C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44"/>
          <w:highlight w:val="none"/>
        </w:rPr>
      </w:pPr>
      <w:r>
        <w:rPr>
          <w:rFonts w:hint="eastAsia" w:ascii="仿宋" w:hAnsi="仿宋" w:eastAsia="仿宋" w:cs="仿宋"/>
          <w:b/>
          <w:bCs/>
          <w:color w:val="auto"/>
          <w:sz w:val="32"/>
          <w:szCs w:val="32"/>
          <w:highlight w:val="none"/>
        </w:rPr>
        <w:t>目  录</w:t>
      </w:r>
    </w:p>
    <w:p w14:paraId="06A4BF2E">
      <w:pPr>
        <w:pStyle w:val="38"/>
        <w:pageBreakBefore w:val="0"/>
        <w:tabs>
          <w:tab w:val="right" w:leader="dot" w:pos="9412"/>
          <w:tab w:val="clear" w:pos="1260"/>
          <w:tab w:val="clear" w:pos="1685"/>
          <w:tab w:val="clear" w:pos="8400"/>
        </w:tabs>
        <w:kinsoku/>
        <w:topLinePunct w:val="0"/>
        <w:bidi w:val="0"/>
        <w:spacing w:line="360" w:lineRule="auto"/>
        <w:rPr>
          <w:color w:val="auto"/>
          <w:sz w:val="24"/>
          <w:szCs w:val="24"/>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"1-2"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_Toc9888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第一篇 投标邀请书</w:t>
      </w:r>
      <w:r>
        <w:rPr>
          <w:color w:val="auto"/>
          <w:sz w:val="24"/>
          <w:szCs w:val="24"/>
        </w:rPr>
        <w:tab/>
      </w:r>
      <w:r>
        <w:rPr>
          <w:color w:val="auto"/>
          <w:sz w:val="24"/>
          <w:szCs w:val="24"/>
        </w:rPr>
        <w:fldChar w:fldCharType="begin"/>
      </w:r>
      <w:r>
        <w:rPr>
          <w:color w:val="auto"/>
          <w:sz w:val="24"/>
          <w:szCs w:val="24"/>
        </w:rPr>
        <w:instrText xml:space="preserve"> PAGEREF _Toc9888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仿宋" w:hAnsi="仿宋" w:eastAsia="仿宋" w:cs="仿宋"/>
          <w:color w:val="auto"/>
          <w:sz w:val="24"/>
          <w:szCs w:val="24"/>
          <w:highlight w:val="none"/>
        </w:rPr>
        <w:fldChar w:fldCharType="end"/>
      </w:r>
    </w:p>
    <w:p w14:paraId="56F678ED">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_Toc7366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一、项目内容</w:t>
      </w:r>
      <w:r>
        <w:rPr>
          <w:color w:val="auto"/>
          <w:sz w:val="24"/>
          <w:szCs w:val="24"/>
        </w:rPr>
        <w:tab/>
      </w:r>
      <w:r>
        <w:rPr>
          <w:color w:val="auto"/>
          <w:sz w:val="24"/>
          <w:szCs w:val="24"/>
        </w:rPr>
        <w:fldChar w:fldCharType="begin"/>
      </w:r>
      <w:r>
        <w:rPr>
          <w:color w:val="auto"/>
          <w:sz w:val="24"/>
          <w:szCs w:val="24"/>
        </w:rPr>
        <w:instrText xml:space="preserve"> PAGEREF _Toc7366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仿宋" w:hAnsi="仿宋" w:eastAsia="仿宋" w:cs="仿宋"/>
          <w:color w:val="auto"/>
          <w:sz w:val="24"/>
          <w:szCs w:val="24"/>
          <w:highlight w:val="none"/>
        </w:rPr>
        <w:fldChar w:fldCharType="end"/>
      </w:r>
    </w:p>
    <w:p w14:paraId="48828FFD">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_Toc31462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二、资金来源</w:t>
      </w:r>
      <w:r>
        <w:rPr>
          <w:color w:val="auto"/>
          <w:sz w:val="24"/>
          <w:szCs w:val="24"/>
        </w:rPr>
        <w:tab/>
      </w:r>
      <w:r>
        <w:rPr>
          <w:color w:val="auto"/>
          <w:sz w:val="24"/>
          <w:szCs w:val="24"/>
        </w:rPr>
        <w:fldChar w:fldCharType="begin"/>
      </w:r>
      <w:r>
        <w:rPr>
          <w:color w:val="auto"/>
          <w:sz w:val="24"/>
          <w:szCs w:val="24"/>
        </w:rPr>
        <w:instrText xml:space="preserve"> PAGEREF _Toc31462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仿宋" w:hAnsi="仿宋" w:eastAsia="仿宋" w:cs="仿宋"/>
          <w:color w:val="auto"/>
          <w:sz w:val="24"/>
          <w:szCs w:val="24"/>
          <w:highlight w:val="none"/>
        </w:rPr>
        <w:fldChar w:fldCharType="end"/>
      </w:r>
    </w:p>
    <w:p w14:paraId="045CF876">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_Toc30141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三、竞争性比选资格</w:t>
      </w:r>
      <w:r>
        <w:rPr>
          <w:color w:val="auto"/>
          <w:sz w:val="24"/>
          <w:szCs w:val="24"/>
        </w:rPr>
        <w:tab/>
      </w:r>
      <w:r>
        <w:rPr>
          <w:color w:val="auto"/>
          <w:sz w:val="24"/>
          <w:szCs w:val="24"/>
        </w:rPr>
        <w:fldChar w:fldCharType="begin"/>
      </w:r>
      <w:r>
        <w:rPr>
          <w:color w:val="auto"/>
          <w:sz w:val="24"/>
          <w:szCs w:val="24"/>
        </w:rPr>
        <w:instrText xml:space="preserve"> PAGEREF _Toc30141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仿宋" w:hAnsi="仿宋" w:eastAsia="仿宋" w:cs="仿宋"/>
          <w:color w:val="auto"/>
          <w:sz w:val="24"/>
          <w:szCs w:val="24"/>
          <w:highlight w:val="none"/>
        </w:rPr>
        <w:fldChar w:fldCharType="end"/>
      </w:r>
    </w:p>
    <w:p w14:paraId="28E7EBB7">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四、竞争性比选相关说明</w:t>
      </w:r>
      <w:r>
        <w:rPr>
          <w:color w:val="auto"/>
          <w:sz w:val="24"/>
          <w:szCs w:val="24"/>
        </w:rPr>
        <w:tab/>
      </w:r>
      <w:r>
        <w:rPr>
          <w:color w:val="auto"/>
          <w:sz w:val="24"/>
          <w:szCs w:val="24"/>
        </w:rPr>
        <w:fldChar w:fldCharType="begin"/>
      </w:r>
      <w:r>
        <w:rPr>
          <w:color w:val="auto"/>
          <w:sz w:val="24"/>
          <w:szCs w:val="24"/>
        </w:rPr>
        <w:instrText xml:space="preserve"> PAGEREF _Toc901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仿宋" w:hAnsi="仿宋" w:eastAsia="仿宋" w:cs="仿宋"/>
          <w:color w:val="auto"/>
          <w:sz w:val="24"/>
          <w:szCs w:val="24"/>
          <w:highlight w:val="none"/>
        </w:rPr>
        <w:fldChar w:fldCharType="end"/>
      </w:r>
    </w:p>
    <w:p w14:paraId="63FF64A9">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_Toc25978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五、其它有关规定</w:t>
      </w:r>
      <w:r>
        <w:rPr>
          <w:color w:val="auto"/>
          <w:sz w:val="24"/>
          <w:szCs w:val="24"/>
        </w:rPr>
        <w:tab/>
      </w:r>
      <w:r>
        <w:rPr>
          <w:color w:val="auto"/>
          <w:sz w:val="24"/>
          <w:szCs w:val="24"/>
        </w:rPr>
        <w:fldChar w:fldCharType="begin"/>
      </w:r>
      <w:r>
        <w:rPr>
          <w:color w:val="auto"/>
          <w:sz w:val="24"/>
          <w:szCs w:val="24"/>
        </w:rPr>
        <w:instrText xml:space="preserve"> PAGEREF _Toc25978 \h </w:instrText>
      </w:r>
      <w:r>
        <w:rPr>
          <w:color w:val="auto"/>
          <w:sz w:val="24"/>
          <w:szCs w:val="24"/>
        </w:rPr>
        <w:fldChar w:fldCharType="separate"/>
      </w:r>
      <w:r>
        <w:rPr>
          <w:color w:val="auto"/>
          <w:sz w:val="24"/>
          <w:szCs w:val="24"/>
        </w:rPr>
        <w:t>5</w:t>
      </w:r>
      <w:r>
        <w:rPr>
          <w:color w:val="auto"/>
          <w:sz w:val="24"/>
          <w:szCs w:val="24"/>
        </w:rPr>
        <w:fldChar w:fldCharType="end"/>
      </w:r>
      <w:r>
        <w:rPr>
          <w:rFonts w:hint="eastAsia" w:ascii="仿宋" w:hAnsi="仿宋" w:eastAsia="仿宋" w:cs="仿宋"/>
          <w:color w:val="auto"/>
          <w:sz w:val="24"/>
          <w:szCs w:val="24"/>
          <w:highlight w:val="none"/>
        </w:rPr>
        <w:fldChar w:fldCharType="end"/>
      </w:r>
    </w:p>
    <w:p w14:paraId="020B8FD3">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_Toc19236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六、联系方式</w:t>
      </w:r>
      <w:r>
        <w:rPr>
          <w:color w:val="auto"/>
          <w:sz w:val="24"/>
          <w:szCs w:val="24"/>
        </w:rPr>
        <w:tab/>
      </w:r>
      <w:r>
        <w:rPr>
          <w:color w:val="auto"/>
          <w:sz w:val="24"/>
          <w:szCs w:val="24"/>
        </w:rPr>
        <w:fldChar w:fldCharType="begin"/>
      </w:r>
      <w:r>
        <w:rPr>
          <w:color w:val="auto"/>
          <w:sz w:val="24"/>
          <w:szCs w:val="24"/>
        </w:rPr>
        <w:instrText xml:space="preserve"> PAGEREF _Toc19236 \h </w:instrText>
      </w:r>
      <w:r>
        <w:rPr>
          <w:color w:val="auto"/>
          <w:sz w:val="24"/>
          <w:szCs w:val="24"/>
        </w:rPr>
        <w:fldChar w:fldCharType="separate"/>
      </w:r>
      <w:r>
        <w:rPr>
          <w:color w:val="auto"/>
          <w:sz w:val="24"/>
          <w:szCs w:val="24"/>
        </w:rPr>
        <w:t>6</w:t>
      </w:r>
      <w:r>
        <w:rPr>
          <w:color w:val="auto"/>
          <w:sz w:val="24"/>
          <w:szCs w:val="24"/>
        </w:rPr>
        <w:fldChar w:fldCharType="end"/>
      </w:r>
      <w:r>
        <w:rPr>
          <w:rFonts w:hint="eastAsia" w:ascii="仿宋" w:hAnsi="仿宋" w:eastAsia="仿宋" w:cs="仿宋"/>
          <w:color w:val="auto"/>
          <w:sz w:val="24"/>
          <w:szCs w:val="24"/>
          <w:highlight w:val="none"/>
        </w:rPr>
        <w:fldChar w:fldCharType="end"/>
      </w:r>
    </w:p>
    <w:p w14:paraId="321099CE">
      <w:pPr>
        <w:pStyle w:val="38"/>
        <w:pageBreakBefore w:val="0"/>
        <w:tabs>
          <w:tab w:val="right" w:leader="dot" w:pos="9412"/>
          <w:tab w:val="clear" w:pos="1260"/>
          <w:tab w:val="clear" w:pos="1685"/>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_Toc12086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第二篇 项目技术需求</w:t>
      </w:r>
      <w:r>
        <w:rPr>
          <w:color w:val="auto"/>
          <w:sz w:val="24"/>
          <w:szCs w:val="24"/>
        </w:rPr>
        <w:tab/>
      </w:r>
      <w:r>
        <w:rPr>
          <w:color w:val="auto"/>
          <w:sz w:val="24"/>
          <w:szCs w:val="24"/>
        </w:rPr>
        <w:fldChar w:fldCharType="begin"/>
      </w:r>
      <w:r>
        <w:rPr>
          <w:color w:val="auto"/>
          <w:sz w:val="24"/>
          <w:szCs w:val="24"/>
        </w:rPr>
        <w:instrText xml:space="preserve"> PAGEREF _Toc12086 \h </w:instrText>
      </w:r>
      <w:r>
        <w:rPr>
          <w:color w:val="auto"/>
          <w:sz w:val="24"/>
          <w:szCs w:val="24"/>
        </w:rPr>
        <w:fldChar w:fldCharType="separate"/>
      </w:r>
      <w:r>
        <w:rPr>
          <w:color w:val="auto"/>
          <w:sz w:val="24"/>
          <w:szCs w:val="24"/>
        </w:rPr>
        <w:t>7</w:t>
      </w:r>
      <w:r>
        <w:rPr>
          <w:color w:val="auto"/>
          <w:sz w:val="24"/>
          <w:szCs w:val="24"/>
        </w:rPr>
        <w:fldChar w:fldCharType="end"/>
      </w:r>
      <w:r>
        <w:rPr>
          <w:rFonts w:hint="eastAsia" w:ascii="仿宋" w:hAnsi="仿宋" w:eastAsia="仿宋" w:cs="仿宋"/>
          <w:color w:val="auto"/>
          <w:sz w:val="24"/>
          <w:szCs w:val="24"/>
          <w:highlight w:val="none"/>
        </w:rPr>
        <w:fldChar w:fldCharType="end"/>
      </w:r>
    </w:p>
    <w:p w14:paraId="6F0A9D8F">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_Toc23741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rPr>
        <w:t xml:space="preserve">一、 </w:t>
      </w:r>
      <w:r>
        <w:rPr>
          <w:rFonts w:hint="eastAsia" w:ascii="仿宋" w:hAnsi="仿宋" w:eastAsia="仿宋" w:cs="仿宋"/>
          <w:color w:val="auto"/>
          <w:sz w:val="24"/>
          <w:szCs w:val="24"/>
          <w:highlight w:val="none"/>
        </w:rPr>
        <w:t>项目一览表</w:t>
      </w:r>
      <w:r>
        <w:rPr>
          <w:color w:val="auto"/>
          <w:sz w:val="24"/>
          <w:szCs w:val="24"/>
        </w:rPr>
        <w:tab/>
      </w:r>
      <w:r>
        <w:rPr>
          <w:color w:val="auto"/>
          <w:sz w:val="24"/>
          <w:szCs w:val="24"/>
        </w:rPr>
        <w:fldChar w:fldCharType="begin"/>
      </w:r>
      <w:r>
        <w:rPr>
          <w:color w:val="auto"/>
          <w:sz w:val="24"/>
          <w:szCs w:val="24"/>
        </w:rPr>
        <w:instrText xml:space="preserve"> PAGEREF _Toc23741 \h </w:instrText>
      </w:r>
      <w:r>
        <w:rPr>
          <w:color w:val="auto"/>
          <w:sz w:val="24"/>
          <w:szCs w:val="24"/>
        </w:rPr>
        <w:fldChar w:fldCharType="separate"/>
      </w:r>
      <w:r>
        <w:rPr>
          <w:color w:val="auto"/>
          <w:sz w:val="24"/>
          <w:szCs w:val="24"/>
        </w:rPr>
        <w:t>7</w:t>
      </w:r>
      <w:r>
        <w:rPr>
          <w:color w:val="auto"/>
          <w:sz w:val="24"/>
          <w:szCs w:val="24"/>
        </w:rPr>
        <w:fldChar w:fldCharType="end"/>
      </w:r>
      <w:r>
        <w:rPr>
          <w:rFonts w:hint="eastAsia" w:ascii="仿宋" w:hAnsi="仿宋" w:eastAsia="仿宋" w:cs="仿宋"/>
          <w:color w:val="auto"/>
          <w:sz w:val="24"/>
          <w:szCs w:val="24"/>
          <w:highlight w:val="none"/>
        </w:rPr>
        <w:fldChar w:fldCharType="end"/>
      </w:r>
    </w:p>
    <w:p w14:paraId="12D1B5F6">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_Toc15395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二、实施内容及要求</w:t>
      </w:r>
      <w:r>
        <w:rPr>
          <w:color w:val="auto"/>
          <w:sz w:val="24"/>
          <w:szCs w:val="24"/>
        </w:rPr>
        <w:tab/>
      </w:r>
      <w:r>
        <w:rPr>
          <w:color w:val="auto"/>
          <w:sz w:val="24"/>
          <w:szCs w:val="24"/>
        </w:rPr>
        <w:fldChar w:fldCharType="begin"/>
      </w:r>
      <w:r>
        <w:rPr>
          <w:color w:val="auto"/>
          <w:sz w:val="24"/>
          <w:szCs w:val="24"/>
        </w:rPr>
        <w:instrText xml:space="preserve"> PAGEREF _Toc15395 \h </w:instrText>
      </w:r>
      <w:r>
        <w:rPr>
          <w:color w:val="auto"/>
          <w:sz w:val="24"/>
          <w:szCs w:val="24"/>
        </w:rPr>
        <w:fldChar w:fldCharType="separate"/>
      </w:r>
      <w:r>
        <w:rPr>
          <w:color w:val="auto"/>
          <w:sz w:val="24"/>
          <w:szCs w:val="24"/>
        </w:rPr>
        <w:t>7</w:t>
      </w:r>
      <w:r>
        <w:rPr>
          <w:color w:val="auto"/>
          <w:sz w:val="24"/>
          <w:szCs w:val="24"/>
        </w:rPr>
        <w:fldChar w:fldCharType="end"/>
      </w:r>
      <w:r>
        <w:rPr>
          <w:rFonts w:hint="eastAsia" w:ascii="仿宋" w:hAnsi="仿宋" w:eastAsia="仿宋" w:cs="仿宋"/>
          <w:color w:val="auto"/>
          <w:sz w:val="24"/>
          <w:szCs w:val="24"/>
          <w:highlight w:val="none"/>
        </w:rPr>
        <w:fldChar w:fldCharType="end"/>
      </w:r>
    </w:p>
    <w:p w14:paraId="22BEE695">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_Toc18025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三、现场踏勘</w:t>
      </w:r>
      <w:r>
        <w:rPr>
          <w:color w:val="auto"/>
          <w:sz w:val="24"/>
          <w:szCs w:val="24"/>
        </w:rPr>
        <w:tab/>
      </w:r>
      <w:r>
        <w:rPr>
          <w:color w:val="auto"/>
          <w:sz w:val="24"/>
          <w:szCs w:val="24"/>
        </w:rPr>
        <w:fldChar w:fldCharType="begin"/>
      </w:r>
      <w:r>
        <w:rPr>
          <w:color w:val="auto"/>
          <w:sz w:val="24"/>
          <w:szCs w:val="24"/>
        </w:rPr>
        <w:instrText xml:space="preserve"> PAGEREF _Toc18025 \h </w:instrText>
      </w:r>
      <w:r>
        <w:rPr>
          <w:color w:val="auto"/>
          <w:sz w:val="24"/>
          <w:szCs w:val="24"/>
        </w:rPr>
        <w:fldChar w:fldCharType="separate"/>
      </w:r>
      <w:r>
        <w:rPr>
          <w:color w:val="auto"/>
          <w:sz w:val="24"/>
          <w:szCs w:val="24"/>
        </w:rPr>
        <w:t>7</w:t>
      </w:r>
      <w:r>
        <w:rPr>
          <w:color w:val="auto"/>
          <w:sz w:val="24"/>
          <w:szCs w:val="24"/>
        </w:rPr>
        <w:fldChar w:fldCharType="end"/>
      </w:r>
      <w:r>
        <w:rPr>
          <w:rFonts w:hint="eastAsia" w:ascii="仿宋" w:hAnsi="仿宋" w:eastAsia="仿宋" w:cs="仿宋"/>
          <w:color w:val="auto"/>
          <w:sz w:val="24"/>
          <w:szCs w:val="24"/>
          <w:highlight w:val="none"/>
        </w:rPr>
        <w:fldChar w:fldCharType="end"/>
      </w:r>
    </w:p>
    <w:p w14:paraId="2DF524E8">
      <w:pPr>
        <w:pStyle w:val="47"/>
        <w:pageBreakBefore w:val="0"/>
        <w:tabs>
          <w:tab w:val="right" w:leader="dot" w:pos="9412"/>
          <w:tab w:val="clear" w:pos="8400"/>
        </w:tabs>
        <w:kinsoku/>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四、安全要求</w:t>
      </w:r>
      <w:r>
        <w:rPr>
          <w:color w:val="auto"/>
          <w:sz w:val="24"/>
          <w:szCs w:val="24"/>
        </w:rPr>
        <w:tab/>
      </w:r>
      <w:r>
        <w:rPr>
          <w:color w:val="auto"/>
          <w:sz w:val="24"/>
          <w:szCs w:val="24"/>
        </w:rPr>
        <w:fldChar w:fldCharType="begin"/>
      </w:r>
      <w:r>
        <w:rPr>
          <w:color w:val="auto"/>
          <w:sz w:val="24"/>
          <w:szCs w:val="24"/>
        </w:rPr>
        <w:instrText xml:space="preserve"> PAGEREF _Toc19680 \h </w:instrText>
      </w:r>
      <w:r>
        <w:rPr>
          <w:color w:val="auto"/>
          <w:sz w:val="24"/>
          <w:szCs w:val="24"/>
        </w:rPr>
        <w:fldChar w:fldCharType="separate"/>
      </w:r>
      <w:r>
        <w:rPr>
          <w:color w:val="auto"/>
          <w:sz w:val="24"/>
          <w:szCs w:val="24"/>
        </w:rPr>
        <w:t>7</w:t>
      </w:r>
      <w:r>
        <w:rPr>
          <w:color w:val="auto"/>
          <w:sz w:val="24"/>
          <w:szCs w:val="24"/>
        </w:rPr>
        <w:fldChar w:fldCharType="end"/>
      </w:r>
      <w:r>
        <w:rPr>
          <w:rFonts w:hint="eastAsia" w:ascii="仿宋" w:hAnsi="仿宋" w:eastAsia="仿宋" w:cs="仿宋"/>
          <w:color w:val="auto"/>
          <w:sz w:val="24"/>
          <w:szCs w:val="24"/>
          <w:highlight w:val="none"/>
        </w:rPr>
        <w:fldChar w:fldCharType="end"/>
      </w:r>
    </w:p>
    <w:p w14:paraId="37A63579">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五、其他要求</w:t>
      </w:r>
      <w:r>
        <w:rPr>
          <w:color w:val="auto"/>
          <w:sz w:val="24"/>
          <w:szCs w:val="24"/>
        </w:rPr>
        <w:tab/>
      </w:r>
      <w:r>
        <w:rPr>
          <w:color w:val="auto"/>
          <w:sz w:val="24"/>
          <w:szCs w:val="24"/>
        </w:rPr>
        <w:fldChar w:fldCharType="begin"/>
      </w:r>
      <w:r>
        <w:rPr>
          <w:color w:val="auto"/>
          <w:sz w:val="24"/>
          <w:szCs w:val="24"/>
        </w:rPr>
        <w:instrText xml:space="preserve"> PAGEREF _Toc19680 \h </w:instrText>
      </w:r>
      <w:r>
        <w:rPr>
          <w:color w:val="auto"/>
          <w:sz w:val="24"/>
          <w:szCs w:val="24"/>
        </w:rPr>
        <w:fldChar w:fldCharType="separate"/>
      </w:r>
      <w:r>
        <w:rPr>
          <w:color w:val="auto"/>
          <w:sz w:val="24"/>
          <w:szCs w:val="24"/>
        </w:rPr>
        <w:t>7</w:t>
      </w:r>
      <w:r>
        <w:rPr>
          <w:color w:val="auto"/>
          <w:sz w:val="24"/>
          <w:szCs w:val="24"/>
        </w:rPr>
        <w:fldChar w:fldCharType="end"/>
      </w:r>
      <w:r>
        <w:rPr>
          <w:rFonts w:hint="eastAsia" w:ascii="仿宋" w:hAnsi="仿宋" w:eastAsia="仿宋" w:cs="仿宋"/>
          <w:color w:val="auto"/>
          <w:sz w:val="24"/>
          <w:szCs w:val="24"/>
          <w:highlight w:val="none"/>
        </w:rPr>
        <w:fldChar w:fldCharType="end"/>
      </w:r>
    </w:p>
    <w:p w14:paraId="45925FC9">
      <w:pPr>
        <w:pStyle w:val="38"/>
        <w:pageBreakBefore w:val="0"/>
        <w:tabs>
          <w:tab w:val="right" w:leader="dot" w:pos="9412"/>
          <w:tab w:val="clear" w:pos="1260"/>
          <w:tab w:val="clear" w:pos="1685"/>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_Toc11667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第三篇  项目商务需求</w:t>
      </w:r>
      <w:r>
        <w:rPr>
          <w:color w:val="auto"/>
          <w:sz w:val="24"/>
          <w:szCs w:val="24"/>
        </w:rPr>
        <w:tab/>
      </w:r>
      <w:r>
        <w:rPr>
          <w:color w:val="auto"/>
          <w:sz w:val="24"/>
          <w:szCs w:val="24"/>
        </w:rPr>
        <w:fldChar w:fldCharType="begin"/>
      </w:r>
      <w:r>
        <w:rPr>
          <w:color w:val="auto"/>
          <w:sz w:val="24"/>
          <w:szCs w:val="24"/>
        </w:rPr>
        <w:instrText xml:space="preserve"> PAGEREF _Toc11667 \h </w:instrText>
      </w:r>
      <w:r>
        <w:rPr>
          <w:color w:val="auto"/>
          <w:sz w:val="24"/>
          <w:szCs w:val="24"/>
        </w:rPr>
        <w:fldChar w:fldCharType="separate"/>
      </w:r>
      <w:r>
        <w:rPr>
          <w:color w:val="auto"/>
          <w:sz w:val="24"/>
          <w:szCs w:val="24"/>
        </w:rPr>
        <w:t>9</w:t>
      </w:r>
      <w:r>
        <w:rPr>
          <w:color w:val="auto"/>
          <w:sz w:val="24"/>
          <w:szCs w:val="24"/>
        </w:rPr>
        <w:fldChar w:fldCharType="end"/>
      </w:r>
      <w:r>
        <w:rPr>
          <w:rFonts w:hint="eastAsia" w:ascii="仿宋" w:hAnsi="仿宋" w:eastAsia="仿宋" w:cs="仿宋"/>
          <w:color w:val="auto"/>
          <w:sz w:val="24"/>
          <w:szCs w:val="24"/>
          <w:highlight w:val="none"/>
        </w:rPr>
        <w:fldChar w:fldCharType="end"/>
      </w:r>
    </w:p>
    <w:p w14:paraId="53B12833">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_Toc17251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一、实施时间、地点、要求及验收方式</w:t>
      </w:r>
      <w:r>
        <w:rPr>
          <w:color w:val="auto"/>
          <w:sz w:val="24"/>
          <w:szCs w:val="24"/>
        </w:rPr>
        <w:tab/>
      </w:r>
      <w:r>
        <w:rPr>
          <w:color w:val="auto"/>
          <w:sz w:val="24"/>
          <w:szCs w:val="24"/>
        </w:rPr>
        <w:fldChar w:fldCharType="begin"/>
      </w:r>
      <w:r>
        <w:rPr>
          <w:color w:val="auto"/>
          <w:sz w:val="24"/>
          <w:szCs w:val="24"/>
        </w:rPr>
        <w:instrText xml:space="preserve"> PAGEREF _Toc17251 \h </w:instrText>
      </w:r>
      <w:r>
        <w:rPr>
          <w:color w:val="auto"/>
          <w:sz w:val="24"/>
          <w:szCs w:val="24"/>
        </w:rPr>
        <w:fldChar w:fldCharType="separate"/>
      </w:r>
      <w:r>
        <w:rPr>
          <w:color w:val="auto"/>
          <w:sz w:val="24"/>
          <w:szCs w:val="24"/>
        </w:rPr>
        <w:t>9</w:t>
      </w:r>
      <w:r>
        <w:rPr>
          <w:color w:val="auto"/>
          <w:sz w:val="24"/>
          <w:szCs w:val="24"/>
        </w:rPr>
        <w:fldChar w:fldCharType="end"/>
      </w:r>
      <w:r>
        <w:rPr>
          <w:rFonts w:hint="eastAsia" w:ascii="仿宋" w:hAnsi="仿宋" w:eastAsia="仿宋" w:cs="仿宋"/>
          <w:color w:val="auto"/>
          <w:sz w:val="24"/>
          <w:szCs w:val="24"/>
          <w:highlight w:val="none"/>
        </w:rPr>
        <w:fldChar w:fldCharType="end"/>
      </w:r>
    </w:p>
    <w:p w14:paraId="0AADD816">
      <w:pPr>
        <w:pStyle w:val="47"/>
        <w:pageBreakBefore w:val="0"/>
        <w:tabs>
          <w:tab w:val="right" w:leader="dot" w:pos="9412"/>
          <w:tab w:val="clear" w:pos="8400"/>
        </w:tabs>
        <w:kinsoku/>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二、项目质量要求及质量保证</w:t>
      </w:r>
      <w:r>
        <w:rPr>
          <w:color w:val="auto"/>
          <w:sz w:val="24"/>
          <w:szCs w:val="24"/>
        </w:rPr>
        <w:tab/>
      </w:r>
      <w:r>
        <w:rPr>
          <w:color w:val="auto"/>
          <w:sz w:val="24"/>
          <w:szCs w:val="24"/>
        </w:rPr>
        <w:fldChar w:fldCharType="begin"/>
      </w:r>
      <w:r>
        <w:rPr>
          <w:color w:val="auto"/>
          <w:sz w:val="24"/>
          <w:szCs w:val="24"/>
        </w:rPr>
        <w:instrText xml:space="preserve"> PAGEREF _Toc19680 \h </w:instrText>
      </w:r>
      <w:r>
        <w:rPr>
          <w:color w:val="auto"/>
          <w:sz w:val="24"/>
          <w:szCs w:val="24"/>
        </w:rPr>
        <w:fldChar w:fldCharType="separate"/>
      </w:r>
      <w:r>
        <w:rPr>
          <w:color w:val="auto"/>
          <w:sz w:val="24"/>
          <w:szCs w:val="24"/>
        </w:rPr>
        <w:t>7</w:t>
      </w:r>
      <w:r>
        <w:rPr>
          <w:color w:val="auto"/>
          <w:sz w:val="24"/>
          <w:szCs w:val="24"/>
        </w:rPr>
        <w:fldChar w:fldCharType="end"/>
      </w:r>
      <w:r>
        <w:rPr>
          <w:rFonts w:hint="eastAsia" w:ascii="仿宋" w:hAnsi="仿宋" w:eastAsia="仿宋" w:cs="仿宋"/>
          <w:color w:val="auto"/>
          <w:sz w:val="24"/>
          <w:szCs w:val="24"/>
          <w:highlight w:val="none"/>
        </w:rPr>
        <w:fldChar w:fldCharType="end"/>
      </w:r>
    </w:p>
    <w:p w14:paraId="48DF2399">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三、报价要求及结算方式</w:t>
      </w:r>
      <w:r>
        <w:rPr>
          <w:color w:val="auto"/>
          <w:sz w:val="24"/>
          <w:szCs w:val="24"/>
        </w:rPr>
        <w:tab/>
      </w:r>
      <w:r>
        <w:rPr>
          <w:color w:val="auto"/>
          <w:sz w:val="24"/>
          <w:szCs w:val="24"/>
        </w:rPr>
        <w:fldChar w:fldCharType="begin"/>
      </w:r>
      <w:r>
        <w:rPr>
          <w:color w:val="auto"/>
          <w:sz w:val="24"/>
          <w:szCs w:val="24"/>
        </w:rPr>
        <w:instrText xml:space="preserve"> PAGEREF _Toc12667 \h </w:instrText>
      </w:r>
      <w:r>
        <w:rPr>
          <w:color w:val="auto"/>
          <w:sz w:val="24"/>
          <w:szCs w:val="24"/>
        </w:rPr>
        <w:fldChar w:fldCharType="separate"/>
      </w:r>
      <w:r>
        <w:rPr>
          <w:color w:val="auto"/>
          <w:sz w:val="24"/>
          <w:szCs w:val="24"/>
        </w:rPr>
        <w:t>10</w:t>
      </w:r>
      <w:r>
        <w:rPr>
          <w:color w:val="auto"/>
          <w:sz w:val="24"/>
          <w:szCs w:val="24"/>
        </w:rPr>
        <w:fldChar w:fldCharType="end"/>
      </w:r>
      <w:r>
        <w:rPr>
          <w:rFonts w:hint="eastAsia" w:ascii="仿宋" w:hAnsi="仿宋" w:eastAsia="仿宋" w:cs="仿宋"/>
          <w:color w:val="auto"/>
          <w:sz w:val="24"/>
          <w:szCs w:val="24"/>
          <w:highlight w:val="none"/>
        </w:rPr>
        <w:fldChar w:fldCharType="end"/>
      </w:r>
    </w:p>
    <w:p w14:paraId="7680E4F0">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_Toc27927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四、付款方式</w:t>
      </w:r>
      <w:r>
        <w:rPr>
          <w:color w:val="auto"/>
          <w:sz w:val="24"/>
          <w:szCs w:val="24"/>
        </w:rPr>
        <w:tab/>
      </w:r>
      <w:r>
        <w:rPr>
          <w:color w:val="auto"/>
          <w:sz w:val="24"/>
          <w:szCs w:val="24"/>
        </w:rPr>
        <w:fldChar w:fldCharType="begin"/>
      </w:r>
      <w:r>
        <w:rPr>
          <w:color w:val="auto"/>
          <w:sz w:val="24"/>
          <w:szCs w:val="24"/>
        </w:rPr>
        <w:instrText xml:space="preserve"> PAGEREF _Toc27927 \h </w:instrText>
      </w:r>
      <w:r>
        <w:rPr>
          <w:color w:val="auto"/>
          <w:sz w:val="24"/>
          <w:szCs w:val="24"/>
        </w:rPr>
        <w:fldChar w:fldCharType="separate"/>
      </w:r>
      <w:r>
        <w:rPr>
          <w:color w:val="auto"/>
          <w:sz w:val="24"/>
          <w:szCs w:val="24"/>
        </w:rPr>
        <w:t>12</w:t>
      </w:r>
      <w:r>
        <w:rPr>
          <w:color w:val="auto"/>
          <w:sz w:val="24"/>
          <w:szCs w:val="24"/>
        </w:rPr>
        <w:fldChar w:fldCharType="end"/>
      </w:r>
      <w:r>
        <w:rPr>
          <w:rFonts w:hint="eastAsia" w:ascii="仿宋" w:hAnsi="仿宋" w:eastAsia="仿宋" w:cs="仿宋"/>
          <w:color w:val="auto"/>
          <w:sz w:val="24"/>
          <w:szCs w:val="24"/>
          <w:highlight w:val="none"/>
        </w:rPr>
        <w:fldChar w:fldCharType="end"/>
      </w:r>
    </w:p>
    <w:p w14:paraId="512E459D">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_Toc30742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五、违约责任</w:t>
      </w:r>
      <w:r>
        <w:rPr>
          <w:color w:val="auto"/>
          <w:sz w:val="24"/>
          <w:szCs w:val="24"/>
        </w:rPr>
        <w:tab/>
      </w:r>
      <w:r>
        <w:rPr>
          <w:color w:val="auto"/>
          <w:sz w:val="24"/>
          <w:szCs w:val="24"/>
        </w:rPr>
        <w:fldChar w:fldCharType="begin"/>
      </w:r>
      <w:r>
        <w:rPr>
          <w:color w:val="auto"/>
          <w:sz w:val="24"/>
          <w:szCs w:val="24"/>
        </w:rPr>
        <w:instrText xml:space="preserve"> PAGEREF _Toc30742 \h </w:instrText>
      </w:r>
      <w:r>
        <w:rPr>
          <w:color w:val="auto"/>
          <w:sz w:val="24"/>
          <w:szCs w:val="24"/>
        </w:rPr>
        <w:fldChar w:fldCharType="separate"/>
      </w:r>
      <w:r>
        <w:rPr>
          <w:color w:val="auto"/>
          <w:sz w:val="24"/>
          <w:szCs w:val="24"/>
        </w:rPr>
        <w:t>12</w:t>
      </w:r>
      <w:r>
        <w:rPr>
          <w:color w:val="auto"/>
          <w:sz w:val="24"/>
          <w:szCs w:val="24"/>
        </w:rPr>
        <w:fldChar w:fldCharType="end"/>
      </w:r>
      <w:r>
        <w:rPr>
          <w:rFonts w:hint="eastAsia" w:ascii="仿宋" w:hAnsi="仿宋" w:eastAsia="仿宋" w:cs="仿宋"/>
          <w:color w:val="auto"/>
          <w:sz w:val="24"/>
          <w:szCs w:val="24"/>
          <w:highlight w:val="none"/>
        </w:rPr>
        <w:fldChar w:fldCharType="end"/>
      </w:r>
    </w:p>
    <w:p w14:paraId="691EF579">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_Toc13331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六、其他</w:t>
      </w:r>
      <w:r>
        <w:rPr>
          <w:color w:val="auto"/>
          <w:sz w:val="24"/>
          <w:szCs w:val="24"/>
        </w:rPr>
        <w:tab/>
      </w:r>
      <w:r>
        <w:rPr>
          <w:color w:val="auto"/>
          <w:sz w:val="24"/>
          <w:szCs w:val="24"/>
        </w:rPr>
        <w:fldChar w:fldCharType="begin"/>
      </w:r>
      <w:r>
        <w:rPr>
          <w:color w:val="auto"/>
          <w:sz w:val="24"/>
          <w:szCs w:val="24"/>
        </w:rPr>
        <w:instrText xml:space="preserve"> PAGEREF _Toc13331 \h </w:instrText>
      </w:r>
      <w:r>
        <w:rPr>
          <w:color w:val="auto"/>
          <w:sz w:val="24"/>
          <w:szCs w:val="24"/>
        </w:rPr>
        <w:fldChar w:fldCharType="separate"/>
      </w:r>
      <w:r>
        <w:rPr>
          <w:color w:val="auto"/>
          <w:sz w:val="24"/>
          <w:szCs w:val="24"/>
        </w:rPr>
        <w:t>12</w:t>
      </w:r>
      <w:r>
        <w:rPr>
          <w:color w:val="auto"/>
          <w:sz w:val="24"/>
          <w:szCs w:val="24"/>
        </w:rPr>
        <w:fldChar w:fldCharType="end"/>
      </w:r>
      <w:r>
        <w:rPr>
          <w:rFonts w:hint="eastAsia" w:ascii="仿宋" w:hAnsi="仿宋" w:eastAsia="仿宋" w:cs="仿宋"/>
          <w:color w:val="auto"/>
          <w:sz w:val="24"/>
          <w:szCs w:val="24"/>
          <w:highlight w:val="none"/>
        </w:rPr>
        <w:fldChar w:fldCharType="end"/>
      </w:r>
    </w:p>
    <w:p w14:paraId="559319A0">
      <w:pPr>
        <w:pStyle w:val="38"/>
        <w:pageBreakBefore w:val="0"/>
        <w:tabs>
          <w:tab w:val="right" w:leader="dot" w:pos="9412"/>
          <w:tab w:val="clear" w:pos="1260"/>
          <w:tab w:val="clear" w:pos="1685"/>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_Toc26085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第四篇 资格审查及评标办法</w:t>
      </w:r>
      <w:r>
        <w:rPr>
          <w:color w:val="auto"/>
          <w:sz w:val="24"/>
          <w:szCs w:val="24"/>
        </w:rPr>
        <w:tab/>
      </w:r>
      <w:r>
        <w:rPr>
          <w:color w:val="auto"/>
          <w:sz w:val="24"/>
          <w:szCs w:val="24"/>
        </w:rPr>
        <w:fldChar w:fldCharType="begin"/>
      </w:r>
      <w:r>
        <w:rPr>
          <w:color w:val="auto"/>
          <w:sz w:val="24"/>
          <w:szCs w:val="24"/>
        </w:rPr>
        <w:instrText xml:space="preserve"> PAGEREF _Toc26085 \h </w:instrText>
      </w:r>
      <w:r>
        <w:rPr>
          <w:color w:val="auto"/>
          <w:sz w:val="24"/>
          <w:szCs w:val="24"/>
        </w:rPr>
        <w:fldChar w:fldCharType="separate"/>
      </w:r>
      <w:r>
        <w:rPr>
          <w:color w:val="auto"/>
          <w:sz w:val="24"/>
          <w:szCs w:val="24"/>
        </w:rPr>
        <w:t>13</w:t>
      </w:r>
      <w:r>
        <w:rPr>
          <w:color w:val="auto"/>
          <w:sz w:val="24"/>
          <w:szCs w:val="24"/>
        </w:rPr>
        <w:fldChar w:fldCharType="end"/>
      </w:r>
      <w:r>
        <w:rPr>
          <w:rFonts w:hint="eastAsia" w:ascii="仿宋" w:hAnsi="仿宋" w:eastAsia="仿宋" w:cs="仿宋"/>
          <w:color w:val="auto"/>
          <w:sz w:val="24"/>
          <w:szCs w:val="24"/>
          <w:highlight w:val="none"/>
        </w:rPr>
        <w:fldChar w:fldCharType="end"/>
      </w:r>
    </w:p>
    <w:p w14:paraId="6FECB665">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_Toc26880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一、资格审查及符合性审查</w:t>
      </w:r>
      <w:r>
        <w:rPr>
          <w:color w:val="auto"/>
          <w:sz w:val="24"/>
          <w:szCs w:val="24"/>
        </w:rPr>
        <w:tab/>
      </w:r>
      <w:r>
        <w:rPr>
          <w:color w:val="auto"/>
          <w:sz w:val="24"/>
          <w:szCs w:val="24"/>
        </w:rPr>
        <w:fldChar w:fldCharType="begin"/>
      </w:r>
      <w:r>
        <w:rPr>
          <w:color w:val="auto"/>
          <w:sz w:val="24"/>
          <w:szCs w:val="24"/>
        </w:rPr>
        <w:instrText xml:space="preserve"> PAGEREF _Toc26880 \h </w:instrText>
      </w:r>
      <w:r>
        <w:rPr>
          <w:color w:val="auto"/>
          <w:sz w:val="24"/>
          <w:szCs w:val="24"/>
        </w:rPr>
        <w:fldChar w:fldCharType="separate"/>
      </w:r>
      <w:r>
        <w:rPr>
          <w:color w:val="auto"/>
          <w:sz w:val="24"/>
          <w:szCs w:val="24"/>
        </w:rPr>
        <w:t>13</w:t>
      </w:r>
      <w:r>
        <w:rPr>
          <w:color w:val="auto"/>
          <w:sz w:val="24"/>
          <w:szCs w:val="24"/>
        </w:rPr>
        <w:fldChar w:fldCharType="end"/>
      </w:r>
      <w:r>
        <w:rPr>
          <w:rFonts w:hint="eastAsia" w:ascii="仿宋" w:hAnsi="仿宋" w:eastAsia="仿宋" w:cs="仿宋"/>
          <w:color w:val="auto"/>
          <w:sz w:val="24"/>
          <w:szCs w:val="24"/>
          <w:highlight w:val="none"/>
        </w:rPr>
        <w:fldChar w:fldCharType="end"/>
      </w:r>
    </w:p>
    <w:p w14:paraId="31503D61">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_Toc30759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二、成交原则</w:t>
      </w:r>
      <w:r>
        <w:rPr>
          <w:color w:val="auto"/>
          <w:sz w:val="24"/>
          <w:szCs w:val="24"/>
        </w:rPr>
        <w:tab/>
      </w:r>
      <w:r>
        <w:rPr>
          <w:color w:val="auto"/>
          <w:sz w:val="24"/>
          <w:szCs w:val="24"/>
        </w:rPr>
        <w:fldChar w:fldCharType="begin"/>
      </w:r>
      <w:r>
        <w:rPr>
          <w:color w:val="auto"/>
          <w:sz w:val="24"/>
          <w:szCs w:val="24"/>
        </w:rPr>
        <w:instrText xml:space="preserve"> PAGEREF _Toc30759 \h </w:instrText>
      </w:r>
      <w:r>
        <w:rPr>
          <w:color w:val="auto"/>
          <w:sz w:val="24"/>
          <w:szCs w:val="24"/>
        </w:rPr>
        <w:fldChar w:fldCharType="separate"/>
      </w:r>
      <w:r>
        <w:rPr>
          <w:color w:val="auto"/>
          <w:sz w:val="24"/>
          <w:szCs w:val="24"/>
        </w:rPr>
        <w:t>14</w:t>
      </w:r>
      <w:r>
        <w:rPr>
          <w:color w:val="auto"/>
          <w:sz w:val="24"/>
          <w:szCs w:val="24"/>
        </w:rPr>
        <w:fldChar w:fldCharType="end"/>
      </w:r>
      <w:r>
        <w:rPr>
          <w:rFonts w:hint="eastAsia" w:ascii="仿宋" w:hAnsi="仿宋" w:eastAsia="仿宋" w:cs="仿宋"/>
          <w:color w:val="auto"/>
          <w:sz w:val="24"/>
          <w:szCs w:val="24"/>
          <w:highlight w:val="none"/>
        </w:rPr>
        <w:fldChar w:fldCharType="end"/>
      </w:r>
    </w:p>
    <w:p w14:paraId="7C0B1355">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_Toc6845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三、无效响应</w:t>
      </w:r>
      <w:r>
        <w:rPr>
          <w:color w:val="auto"/>
          <w:sz w:val="24"/>
          <w:szCs w:val="24"/>
        </w:rPr>
        <w:tab/>
      </w:r>
      <w:r>
        <w:rPr>
          <w:color w:val="auto"/>
          <w:sz w:val="24"/>
          <w:szCs w:val="24"/>
        </w:rPr>
        <w:fldChar w:fldCharType="begin"/>
      </w:r>
      <w:r>
        <w:rPr>
          <w:color w:val="auto"/>
          <w:sz w:val="24"/>
          <w:szCs w:val="24"/>
        </w:rPr>
        <w:instrText xml:space="preserve"> PAGEREF _Toc6845 \h </w:instrText>
      </w:r>
      <w:r>
        <w:rPr>
          <w:color w:val="auto"/>
          <w:sz w:val="24"/>
          <w:szCs w:val="24"/>
        </w:rPr>
        <w:fldChar w:fldCharType="separate"/>
      </w:r>
      <w:r>
        <w:rPr>
          <w:color w:val="auto"/>
          <w:sz w:val="24"/>
          <w:szCs w:val="24"/>
        </w:rPr>
        <w:t>16</w:t>
      </w:r>
      <w:r>
        <w:rPr>
          <w:color w:val="auto"/>
          <w:sz w:val="24"/>
          <w:szCs w:val="24"/>
        </w:rPr>
        <w:fldChar w:fldCharType="end"/>
      </w:r>
      <w:r>
        <w:rPr>
          <w:rFonts w:hint="eastAsia" w:ascii="仿宋" w:hAnsi="仿宋" w:eastAsia="仿宋" w:cs="仿宋"/>
          <w:color w:val="auto"/>
          <w:sz w:val="24"/>
          <w:szCs w:val="24"/>
          <w:highlight w:val="none"/>
        </w:rPr>
        <w:fldChar w:fldCharType="end"/>
      </w:r>
    </w:p>
    <w:p w14:paraId="229BA673">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_Toc13966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四、采购终止</w:t>
      </w:r>
      <w:r>
        <w:rPr>
          <w:color w:val="auto"/>
          <w:sz w:val="24"/>
          <w:szCs w:val="24"/>
        </w:rPr>
        <w:tab/>
      </w:r>
      <w:r>
        <w:rPr>
          <w:color w:val="auto"/>
          <w:sz w:val="24"/>
          <w:szCs w:val="24"/>
        </w:rPr>
        <w:fldChar w:fldCharType="begin"/>
      </w:r>
      <w:r>
        <w:rPr>
          <w:color w:val="auto"/>
          <w:sz w:val="24"/>
          <w:szCs w:val="24"/>
        </w:rPr>
        <w:instrText xml:space="preserve"> PAGEREF _Toc13966 \h </w:instrText>
      </w:r>
      <w:r>
        <w:rPr>
          <w:color w:val="auto"/>
          <w:sz w:val="24"/>
          <w:szCs w:val="24"/>
        </w:rPr>
        <w:fldChar w:fldCharType="separate"/>
      </w:r>
      <w:r>
        <w:rPr>
          <w:color w:val="auto"/>
          <w:sz w:val="24"/>
          <w:szCs w:val="24"/>
        </w:rPr>
        <w:t>16</w:t>
      </w:r>
      <w:r>
        <w:rPr>
          <w:color w:val="auto"/>
          <w:sz w:val="24"/>
          <w:szCs w:val="24"/>
        </w:rPr>
        <w:fldChar w:fldCharType="end"/>
      </w:r>
      <w:r>
        <w:rPr>
          <w:rFonts w:hint="eastAsia" w:ascii="仿宋" w:hAnsi="仿宋" w:eastAsia="仿宋" w:cs="仿宋"/>
          <w:color w:val="auto"/>
          <w:sz w:val="24"/>
          <w:szCs w:val="24"/>
          <w:highlight w:val="none"/>
        </w:rPr>
        <w:fldChar w:fldCharType="end"/>
      </w:r>
    </w:p>
    <w:p w14:paraId="2169173E">
      <w:pPr>
        <w:pStyle w:val="38"/>
        <w:pageBreakBefore w:val="0"/>
        <w:tabs>
          <w:tab w:val="right" w:leader="dot" w:pos="9412"/>
          <w:tab w:val="clear" w:pos="1260"/>
          <w:tab w:val="clear" w:pos="1685"/>
          <w:tab w:val="clear" w:pos="8400"/>
        </w:tabs>
        <w:kinsoku/>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_Toc15694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第五篇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r>
        <w:rPr>
          <w:color w:val="auto"/>
          <w:sz w:val="24"/>
          <w:szCs w:val="24"/>
        </w:rPr>
        <w:tab/>
      </w:r>
      <w:r>
        <w:rPr>
          <w:color w:val="auto"/>
          <w:sz w:val="24"/>
          <w:szCs w:val="24"/>
        </w:rPr>
        <w:fldChar w:fldCharType="begin"/>
      </w:r>
      <w:r>
        <w:rPr>
          <w:color w:val="auto"/>
          <w:sz w:val="24"/>
          <w:szCs w:val="24"/>
        </w:rPr>
        <w:instrText xml:space="preserve"> PAGEREF _Toc15694 \h </w:instrText>
      </w:r>
      <w:r>
        <w:rPr>
          <w:color w:val="auto"/>
          <w:sz w:val="24"/>
          <w:szCs w:val="24"/>
        </w:rPr>
        <w:fldChar w:fldCharType="separate"/>
      </w:r>
      <w:r>
        <w:rPr>
          <w:color w:val="auto"/>
          <w:sz w:val="24"/>
          <w:szCs w:val="24"/>
        </w:rPr>
        <w:t>18</w:t>
      </w:r>
      <w:r>
        <w:rPr>
          <w:color w:val="auto"/>
          <w:sz w:val="24"/>
          <w:szCs w:val="24"/>
        </w:rPr>
        <w:fldChar w:fldCharType="end"/>
      </w:r>
      <w:r>
        <w:rPr>
          <w:rFonts w:hint="eastAsia" w:ascii="仿宋" w:hAnsi="仿宋" w:eastAsia="仿宋" w:cs="仿宋"/>
          <w:color w:val="auto"/>
          <w:sz w:val="24"/>
          <w:szCs w:val="24"/>
          <w:highlight w:val="none"/>
        </w:rPr>
        <w:fldChar w:fldCharType="end"/>
      </w:r>
    </w:p>
    <w:p w14:paraId="5D12D9B6">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_Toc26880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网上竞采费用</w:t>
      </w:r>
      <w:r>
        <w:rPr>
          <w:color w:val="auto"/>
          <w:sz w:val="24"/>
          <w:szCs w:val="24"/>
        </w:rPr>
        <w:tab/>
      </w:r>
      <w:r>
        <w:rPr>
          <w:color w:val="auto"/>
          <w:sz w:val="24"/>
          <w:szCs w:val="24"/>
        </w:rPr>
        <w:fldChar w:fldCharType="begin"/>
      </w:r>
      <w:r>
        <w:rPr>
          <w:color w:val="auto"/>
          <w:sz w:val="24"/>
          <w:szCs w:val="24"/>
        </w:rPr>
        <w:instrText xml:space="preserve"> PAGEREF _Toc26880 \h </w:instrText>
      </w:r>
      <w:r>
        <w:rPr>
          <w:color w:val="auto"/>
          <w:sz w:val="24"/>
          <w:szCs w:val="24"/>
        </w:rPr>
        <w:fldChar w:fldCharType="separate"/>
      </w:r>
      <w:r>
        <w:rPr>
          <w:color w:val="auto"/>
          <w:sz w:val="24"/>
          <w:szCs w:val="24"/>
        </w:rPr>
        <w:t>1</w:t>
      </w:r>
      <w:r>
        <w:rPr>
          <w:rFonts w:hint="eastAsia"/>
          <w:color w:val="auto"/>
          <w:sz w:val="24"/>
          <w:szCs w:val="24"/>
          <w:lang w:val="en-US" w:eastAsia="zh-CN"/>
        </w:rPr>
        <w:t>8</w:t>
      </w:r>
      <w:r>
        <w:rPr>
          <w:color w:val="auto"/>
          <w:sz w:val="24"/>
          <w:szCs w:val="24"/>
        </w:rPr>
        <w:fldChar w:fldCharType="end"/>
      </w:r>
      <w:r>
        <w:rPr>
          <w:rFonts w:hint="eastAsia" w:ascii="仿宋" w:hAnsi="仿宋" w:eastAsia="仿宋" w:cs="仿宋"/>
          <w:color w:val="auto"/>
          <w:sz w:val="24"/>
          <w:szCs w:val="24"/>
          <w:highlight w:val="none"/>
        </w:rPr>
        <w:fldChar w:fldCharType="end"/>
      </w:r>
    </w:p>
    <w:p w14:paraId="609EB10E">
      <w:pPr>
        <w:pStyle w:val="47"/>
        <w:pageBreakBefore w:val="0"/>
        <w:tabs>
          <w:tab w:val="right" w:leader="dot" w:pos="9412"/>
          <w:tab w:val="clear" w:pos="8400"/>
        </w:tabs>
        <w:kinsoku/>
        <w:topLinePunct w:val="0"/>
        <w:bidi w:val="0"/>
        <w:spacing w:line="360" w:lineRule="auto"/>
        <w:rPr>
          <w:rFonts w:hint="eastAsia" w:eastAsia="仿宋"/>
          <w:color w:val="auto"/>
          <w:sz w:val="24"/>
          <w:szCs w:val="24"/>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_Toc30759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二、网上竞采文件</w:t>
      </w:r>
      <w:r>
        <w:rPr>
          <w:color w:val="auto"/>
          <w:sz w:val="24"/>
          <w:szCs w:val="24"/>
        </w:rPr>
        <w:tab/>
      </w:r>
      <w:r>
        <w:rPr>
          <w:rFonts w:hint="eastAsia"/>
          <w:color w:val="auto"/>
          <w:sz w:val="24"/>
          <w:szCs w:val="24"/>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8</w:t>
      </w:r>
    </w:p>
    <w:p w14:paraId="2D5617AB">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_Toc6845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三、网上竞采要求</w:t>
      </w:r>
      <w:r>
        <w:rPr>
          <w:color w:val="auto"/>
          <w:sz w:val="24"/>
          <w:szCs w:val="24"/>
        </w:rPr>
        <w:tab/>
      </w:r>
      <w:r>
        <w:rPr>
          <w:color w:val="auto"/>
          <w:sz w:val="24"/>
          <w:szCs w:val="24"/>
        </w:rPr>
        <w:fldChar w:fldCharType="begin"/>
      </w:r>
      <w:r>
        <w:rPr>
          <w:color w:val="auto"/>
          <w:sz w:val="24"/>
          <w:szCs w:val="24"/>
        </w:rPr>
        <w:instrText xml:space="preserve"> PAGEREF _Toc6845 \h </w:instrText>
      </w:r>
      <w:r>
        <w:rPr>
          <w:color w:val="auto"/>
          <w:sz w:val="24"/>
          <w:szCs w:val="24"/>
        </w:rPr>
        <w:fldChar w:fldCharType="separate"/>
      </w:r>
      <w:r>
        <w:rPr>
          <w:color w:val="auto"/>
          <w:sz w:val="24"/>
          <w:szCs w:val="24"/>
        </w:rPr>
        <w:t>1</w:t>
      </w:r>
      <w:r>
        <w:rPr>
          <w:rFonts w:hint="eastAsia"/>
          <w:color w:val="auto"/>
          <w:sz w:val="24"/>
          <w:szCs w:val="24"/>
          <w:lang w:val="en-US" w:eastAsia="zh-CN"/>
        </w:rPr>
        <w:t>8</w:t>
      </w:r>
      <w:r>
        <w:rPr>
          <w:color w:val="auto"/>
          <w:sz w:val="24"/>
          <w:szCs w:val="24"/>
        </w:rPr>
        <w:fldChar w:fldCharType="end"/>
      </w:r>
      <w:r>
        <w:rPr>
          <w:rFonts w:hint="eastAsia" w:ascii="仿宋" w:hAnsi="仿宋" w:eastAsia="仿宋" w:cs="仿宋"/>
          <w:color w:val="auto"/>
          <w:sz w:val="24"/>
          <w:szCs w:val="24"/>
          <w:highlight w:val="none"/>
        </w:rPr>
        <w:fldChar w:fldCharType="end"/>
      </w:r>
    </w:p>
    <w:p w14:paraId="077907D5">
      <w:pPr>
        <w:pStyle w:val="47"/>
        <w:pageBreakBefore w:val="0"/>
        <w:tabs>
          <w:tab w:val="right" w:leader="dot" w:pos="9412"/>
          <w:tab w:val="clear" w:pos="8400"/>
        </w:tabs>
        <w:kinsoku/>
        <w:topLinePunct w:val="0"/>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_Toc13966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四、成交供应商的确认和变更</w:t>
      </w:r>
      <w:r>
        <w:rPr>
          <w:color w:val="auto"/>
          <w:sz w:val="24"/>
          <w:szCs w:val="24"/>
        </w:rPr>
        <w:tab/>
      </w:r>
      <w:r>
        <w:rPr>
          <w:rFonts w:hint="eastAsia"/>
          <w:color w:val="auto"/>
          <w:sz w:val="24"/>
          <w:szCs w:val="24"/>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9</w:t>
      </w:r>
    </w:p>
    <w:p w14:paraId="55D31EEC">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_Toc26880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成交通知</w:t>
      </w:r>
      <w:r>
        <w:rPr>
          <w:color w:val="auto"/>
          <w:sz w:val="24"/>
          <w:szCs w:val="24"/>
        </w:rPr>
        <w:tab/>
      </w:r>
      <w:r>
        <w:rPr>
          <w:color w:val="auto"/>
          <w:sz w:val="24"/>
          <w:szCs w:val="24"/>
        </w:rPr>
        <w:fldChar w:fldCharType="begin"/>
      </w:r>
      <w:r>
        <w:rPr>
          <w:color w:val="auto"/>
          <w:sz w:val="24"/>
          <w:szCs w:val="24"/>
        </w:rPr>
        <w:instrText xml:space="preserve"> PAGEREF _Toc26880 \h </w:instrText>
      </w:r>
      <w:r>
        <w:rPr>
          <w:color w:val="auto"/>
          <w:sz w:val="24"/>
          <w:szCs w:val="24"/>
        </w:rPr>
        <w:fldChar w:fldCharType="separate"/>
      </w:r>
      <w:r>
        <w:rPr>
          <w:color w:val="auto"/>
          <w:sz w:val="24"/>
          <w:szCs w:val="24"/>
        </w:rPr>
        <w:t>1</w:t>
      </w:r>
      <w:r>
        <w:rPr>
          <w:rFonts w:hint="eastAsia"/>
          <w:color w:val="auto"/>
          <w:sz w:val="24"/>
          <w:szCs w:val="24"/>
          <w:lang w:val="en-US" w:eastAsia="zh-CN"/>
        </w:rPr>
        <w:t>9</w:t>
      </w:r>
      <w:r>
        <w:rPr>
          <w:color w:val="auto"/>
          <w:sz w:val="24"/>
          <w:szCs w:val="24"/>
        </w:rPr>
        <w:fldChar w:fldCharType="end"/>
      </w:r>
      <w:r>
        <w:rPr>
          <w:rFonts w:hint="eastAsia" w:ascii="仿宋" w:hAnsi="仿宋" w:eastAsia="仿宋" w:cs="仿宋"/>
          <w:color w:val="auto"/>
          <w:sz w:val="24"/>
          <w:szCs w:val="24"/>
          <w:highlight w:val="none"/>
        </w:rPr>
        <w:fldChar w:fldCharType="end"/>
      </w:r>
    </w:p>
    <w:p w14:paraId="33F0D20B">
      <w:pPr>
        <w:pStyle w:val="47"/>
        <w:pageBreakBefore w:val="0"/>
        <w:tabs>
          <w:tab w:val="right" w:leader="dot" w:pos="9412"/>
          <w:tab w:val="clear" w:pos="8400"/>
        </w:tabs>
        <w:kinsoku/>
        <w:topLinePunct w:val="0"/>
        <w:bidi w:val="0"/>
        <w:spacing w:line="360" w:lineRule="auto"/>
        <w:rPr>
          <w:color w:val="auto"/>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_Toc30759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六、采购代理服务费</w:t>
      </w:r>
      <w:r>
        <w:rPr>
          <w:color w:val="auto"/>
          <w:sz w:val="24"/>
          <w:szCs w:val="24"/>
        </w:rPr>
        <w:tab/>
      </w:r>
      <w:r>
        <w:rPr>
          <w:color w:val="auto"/>
          <w:sz w:val="24"/>
          <w:szCs w:val="24"/>
        </w:rPr>
        <w:fldChar w:fldCharType="begin"/>
      </w:r>
      <w:r>
        <w:rPr>
          <w:color w:val="auto"/>
          <w:sz w:val="24"/>
          <w:szCs w:val="24"/>
        </w:rPr>
        <w:instrText xml:space="preserve"> PAGEREF _Toc30759 \h </w:instrText>
      </w:r>
      <w:r>
        <w:rPr>
          <w:color w:val="auto"/>
          <w:sz w:val="24"/>
          <w:szCs w:val="24"/>
        </w:rPr>
        <w:fldChar w:fldCharType="separate"/>
      </w:r>
      <w:r>
        <w:rPr>
          <w:color w:val="auto"/>
          <w:sz w:val="24"/>
          <w:szCs w:val="24"/>
        </w:rPr>
        <w:t>1</w:t>
      </w:r>
      <w:r>
        <w:rPr>
          <w:rFonts w:hint="eastAsia"/>
          <w:color w:val="auto"/>
          <w:sz w:val="24"/>
          <w:szCs w:val="24"/>
          <w:lang w:val="en-US" w:eastAsia="zh-CN"/>
        </w:rPr>
        <w:t>9</w:t>
      </w:r>
      <w:r>
        <w:rPr>
          <w:color w:val="auto"/>
          <w:sz w:val="24"/>
          <w:szCs w:val="24"/>
        </w:rPr>
        <w:fldChar w:fldCharType="end"/>
      </w:r>
      <w:r>
        <w:rPr>
          <w:rFonts w:hint="eastAsia" w:ascii="仿宋" w:hAnsi="仿宋" w:eastAsia="仿宋" w:cs="仿宋"/>
          <w:color w:val="auto"/>
          <w:sz w:val="24"/>
          <w:szCs w:val="24"/>
          <w:highlight w:val="none"/>
        </w:rPr>
        <w:fldChar w:fldCharType="end"/>
      </w:r>
    </w:p>
    <w:p w14:paraId="57B8A479">
      <w:pPr>
        <w:pStyle w:val="47"/>
        <w:pageBreakBefore w:val="0"/>
        <w:tabs>
          <w:tab w:val="right" w:leader="dot" w:pos="9412"/>
          <w:tab w:val="clear" w:pos="8400"/>
        </w:tabs>
        <w:kinsoku/>
        <w:topLinePunct w:val="0"/>
        <w:bidi w:val="0"/>
        <w:spacing w:line="360" w:lineRule="auto"/>
        <w:rPr>
          <w:rFonts w:hint="eastAsia" w:eastAsia="仿宋"/>
          <w:color w:val="auto"/>
          <w:sz w:val="24"/>
          <w:szCs w:val="24"/>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_Toc6845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七、签订合同</w:t>
      </w:r>
      <w:r>
        <w:rPr>
          <w:color w:val="auto"/>
          <w:sz w:val="24"/>
          <w:szCs w:val="24"/>
        </w:rPr>
        <w:tab/>
      </w:r>
      <w:r>
        <w:rPr>
          <w:rFonts w:hint="eastAsia"/>
          <w:color w:val="auto"/>
          <w:sz w:val="24"/>
          <w:szCs w:val="24"/>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0</w:t>
      </w:r>
    </w:p>
    <w:p w14:paraId="7234FF84">
      <w:pPr>
        <w:pStyle w:val="47"/>
        <w:pageBreakBefore w:val="0"/>
        <w:tabs>
          <w:tab w:val="right" w:leader="dot" w:pos="9412"/>
          <w:tab w:val="clear" w:pos="8400"/>
        </w:tabs>
        <w:kinsoku/>
        <w:topLinePunct w:val="0"/>
        <w:bidi w:val="0"/>
        <w:spacing w:line="360" w:lineRule="auto"/>
        <w:rPr>
          <w:b/>
          <w:bCs/>
          <w:color w:val="auto"/>
          <w:sz w:val="24"/>
          <w:szCs w:val="24"/>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_Toc11175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lang w:val="en-US" w:eastAsia="zh-CN"/>
        </w:rPr>
        <w:t xml:space="preserve">第六篇 </w:t>
      </w:r>
      <w:r>
        <w:rPr>
          <w:rFonts w:hint="eastAsia" w:ascii="仿宋" w:hAnsi="仿宋" w:eastAsia="仿宋" w:cs="仿宋"/>
          <w:b/>
          <w:bCs/>
          <w:color w:val="auto"/>
          <w:sz w:val="24"/>
          <w:szCs w:val="24"/>
          <w:highlight w:val="none"/>
          <w:lang w:val="en-US" w:eastAsia="zh-CN"/>
        </w:rPr>
        <w:t>合同条款及格式</w:t>
      </w:r>
      <w:r>
        <w:rPr>
          <w:b/>
          <w:bCs/>
          <w:color w:val="auto"/>
          <w:sz w:val="24"/>
          <w:szCs w:val="24"/>
        </w:rPr>
        <w:tab/>
      </w:r>
      <w:r>
        <w:rPr>
          <w:b/>
          <w:bCs/>
          <w:color w:val="auto"/>
          <w:sz w:val="24"/>
          <w:szCs w:val="24"/>
        </w:rPr>
        <w:fldChar w:fldCharType="begin"/>
      </w:r>
      <w:r>
        <w:rPr>
          <w:b/>
          <w:bCs/>
          <w:color w:val="auto"/>
          <w:sz w:val="24"/>
          <w:szCs w:val="24"/>
        </w:rPr>
        <w:instrText xml:space="preserve"> PAGEREF _Toc11175 \h </w:instrText>
      </w:r>
      <w:r>
        <w:rPr>
          <w:b/>
          <w:bCs/>
          <w:color w:val="auto"/>
          <w:sz w:val="24"/>
          <w:szCs w:val="24"/>
        </w:rPr>
        <w:fldChar w:fldCharType="separate"/>
      </w:r>
      <w:r>
        <w:rPr>
          <w:b/>
          <w:bCs/>
          <w:color w:val="auto"/>
          <w:sz w:val="24"/>
          <w:szCs w:val="24"/>
        </w:rPr>
        <w:t>21</w:t>
      </w:r>
      <w:r>
        <w:rPr>
          <w:b/>
          <w:bCs/>
          <w:color w:val="auto"/>
          <w:sz w:val="24"/>
          <w:szCs w:val="24"/>
        </w:rPr>
        <w:fldChar w:fldCharType="end"/>
      </w:r>
      <w:r>
        <w:rPr>
          <w:rFonts w:hint="eastAsia" w:ascii="仿宋" w:hAnsi="仿宋" w:eastAsia="仿宋" w:cs="仿宋"/>
          <w:b/>
          <w:bCs/>
          <w:color w:val="auto"/>
          <w:sz w:val="24"/>
          <w:szCs w:val="24"/>
          <w:highlight w:val="none"/>
        </w:rPr>
        <w:fldChar w:fldCharType="end"/>
      </w:r>
    </w:p>
    <w:p w14:paraId="211E9FA4">
      <w:pPr>
        <w:pStyle w:val="47"/>
        <w:pageBreakBefore w:val="0"/>
        <w:tabs>
          <w:tab w:val="right" w:leader="dot" w:pos="9412"/>
          <w:tab w:val="clear" w:pos="8400"/>
        </w:tabs>
        <w:kinsoku/>
        <w:topLinePunct w:val="0"/>
        <w:bidi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_Toc25922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kern w:val="2"/>
          <w:sz w:val="24"/>
          <w:szCs w:val="24"/>
          <w:highlight w:val="none"/>
          <w:lang w:val="en-US" w:eastAsia="zh-CN" w:bidi="ar-SA"/>
        </w:rPr>
        <w:t>第七篇 响应文件格式要求</w:t>
      </w:r>
      <w:r>
        <w:rPr>
          <w:b/>
          <w:bCs/>
          <w:color w:val="auto"/>
          <w:sz w:val="24"/>
          <w:szCs w:val="24"/>
        </w:rPr>
        <w:tab/>
      </w:r>
      <w:r>
        <w:rPr>
          <w:b/>
          <w:bCs/>
          <w:color w:val="auto"/>
          <w:sz w:val="24"/>
          <w:szCs w:val="24"/>
        </w:rPr>
        <w:fldChar w:fldCharType="begin"/>
      </w:r>
      <w:r>
        <w:rPr>
          <w:b/>
          <w:bCs/>
          <w:color w:val="auto"/>
          <w:sz w:val="24"/>
          <w:szCs w:val="24"/>
        </w:rPr>
        <w:instrText xml:space="preserve"> PAGEREF _Toc25922 \h </w:instrText>
      </w:r>
      <w:r>
        <w:rPr>
          <w:b/>
          <w:bCs/>
          <w:color w:val="auto"/>
          <w:sz w:val="24"/>
          <w:szCs w:val="24"/>
        </w:rPr>
        <w:fldChar w:fldCharType="separate"/>
      </w:r>
      <w:r>
        <w:rPr>
          <w:b/>
          <w:bCs/>
          <w:color w:val="auto"/>
          <w:sz w:val="24"/>
          <w:szCs w:val="24"/>
        </w:rPr>
        <w:t>22</w:t>
      </w:r>
      <w:r>
        <w:rPr>
          <w:b/>
          <w:bCs/>
          <w:color w:val="auto"/>
          <w:sz w:val="24"/>
          <w:szCs w:val="24"/>
        </w:rPr>
        <w:fldChar w:fldCharType="end"/>
      </w:r>
      <w:r>
        <w:rPr>
          <w:rFonts w:hint="eastAsia" w:ascii="仿宋" w:hAnsi="仿宋" w:eastAsia="仿宋" w:cs="仿宋"/>
          <w:b/>
          <w:bCs/>
          <w:color w:val="auto"/>
          <w:sz w:val="24"/>
          <w:szCs w:val="24"/>
          <w:highlight w:val="none"/>
        </w:rPr>
        <w:fldChar w:fldCharType="end"/>
      </w:r>
    </w:p>
    <w:p w14:paraId="5B92DECB">
      <w:pPr>
        <w:pStyle w:val="47"/>
        <w:pageBreakBefore w:val="0"/>
        <w:tabs>
          <w:tab w:val="right" w:leader="dot" w:pos="9412"/>
          <w:tab w:val="clear" w:pos="8400"/>
        </w:tabs>
        <w:kinsoku/>
        <w:topLinePunct w:val="0"/>
        <w:bidi w:val="0"/>
        <w:spacing w:line="360" w:lineRule="auto"/>
        <w:rPr>
          <w:rFonts w:hint="eastAsia" w:eastAsia="仿宋"/>
          <w:color w:val="auto"/>
          <w:sz w:val="24"/>
          <w:szCs w:val="24"/>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_Toc26880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经济部分</w:t>
      </w:r>
      <w:r>
        <w:rPr>
          <w:color w:val="auto"/>
          <w:sz w:val="24"/>
          <w:szCs w:val="24"/>
        </w:rPr>
        <w:tab/>
      </w:r>
      <w:r>
        <w:rPr>
          <w:rFonts w:hint="eastAsia"/>
          <w:color w:val="auto"/>
          <w:sz w:val="24"/>
          <w:szCs w:val="24"/>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5</w:t>
      </w:r>
    </w:p>
    <w:p w14:paraId="4210518F">
      <w:pPr>
        <w:pStyle w:val="47"/>
        <w:pageBreakBefore w:val="0"/>
        <w:tabs>
          <w:tab w:val="right" w:leader="dot" w:pos="9412"/>
          <w:tab w:val="clear" w:pos="8400"/>
        </w:tabs>
        <w:kinsoku/>
        <w:topLinePunct w:val="0"/>
        <w:bidi w:val="0"/>
        <w:spacing w:line="360" w:lineRule="auto"/>
        <w:rPr>
          <w:rFonts w:hint="eastAsia" w:eastAsia="仿宋"/>
          <w:color w:val="auto"/>
          <w:sz w:val="24"/>
          <w:szCs w:val="24"/>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_Toc30759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二、资格条件及其他</w:t>
      </w:r>
      <w:r>
        <w:rPr>
          <w:color w:val="auto"/>
          <w:sz w:val="24"/>
          <w:szCs w:val="24"/>
        </w:rPr>
        <w:tab/>
      </w:r>
      <w:r>
        <w:rPr>
          <w:rFonts w:hint="eastAsia"/>
          <w:color w:val="auto"/>
          <w:sz w:val="24"/>
          <w:szCs w:val="24"/>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14:paraId="7A93B12C">
      <w:pPr>
        <w:pStyle w:val="47"/>
        <w:pageBreakBefore w:val="0"/>
        <w:tabs>
          <w:tab w:val="right" w:leader="dot" w:pos="9412"/>
          <w:tab w:val="clear" w:pos="8400"/>
        </w:tabs>
        <w:kinsoku/>
        <w:topLinePunct w:val="0"/>
        <w:bidi w:val="0"/>
        <w:spacing w:line="360" w:lineRule="auto"/>
        <w:rPr>
          <w:rFonts w:hint="eastAsia" w:eastAsia="仿宋"/>
          <w:color w:val="auto"/>
          <w:sz w:val="24"/>
          <w:szCs w:val="24"/>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_Toc6845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三、法定代表人身份证明书</w:t>
      </w:r>
      <w:r>
        <w:rPr>
          <w:color w:val="auto"/>
          <w:sz w:val="24"/>
          <w:szCs w:val="24"/>
        </w:rPr>
        <w:tab/>
      </w:r>
      <w:r>
        <w:rPr>
          <w:rFonts w:hint="eastAsia"/>
          <w:color w:val="auto"/>
          <w:sz w:val="24"/>
          <w:szCs w:val="24"/>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8</w:t>
      </w:r>
    </w:p>
    <w:p w14:paraId="045E2882">
      <w:pPr>
        <w:pStyle w:val="47"/>
        <w:pageBreakBefore w:val="0"/>
        <w:tabs>
          <w:tab w:val="right" w:leader="dot" w:pos="9412"/>
          <w:tab w:val="clear" w:pos="8400"/>
        </w:tabs>
        <w:kinsoku/>
        <w:topLinePunct w:val="0"/>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_Toc13966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四、法定代表人授权委托书</w:t>
      </w:r>
      <w:r>
        <w:rPr>
          <w:color w:val="auto"/>
          <w:sz w:val="24"/>
          <w:szCs w:val="24"/>
        </w:rPr>
        <w:tab/>
      </w:r>
      <w:r>
        <w:rPr>
          <w:rFonts w:hint="eastAsia"/>
          <w:color w:val="auto"/>
          <w:sz w:val="24"/>
          <w:szCs w:val="24"/>
          <w:lang w:val="en-US" w:eastAsia="zh-CN"/>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9</w:t>
      </w:r>
    </w:p>
    <w:p w14:paraId="6913EC8C">
      <w:pPr>
        <w:pStyle w:val="47"/>
        <w:pageBreakBefore w:val="0"/>
        <w:tabs>
          <w:tab w:val="right" w:leader="dot" w:pos="9412"/>
          <w:tab w:val="clear" w:pos="8400"/>
        </w:tabs>
        <w:kinsoku/>
        <w:topLinePunct w:val="0"/>
        <w:bidi w:val="0"/>
        <w:spacing w:line="360" w:lineRule="auto"/>
        <w:rPr>
          <w:rFonts w:hint="eastAsia" w:eastAsia="仿宋"/>
          <w:color w:val="auto"/>
          <w:sz w:val="24"/>
          <w:szCs w:val="24"/>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_Toc26880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书面声明</w:t>
      </w:r>
      <w:r>
        <w:rPr>
          <w:color w:val="auto"/>
          <w:sz w:val="24"/>
          <w:szCs w:val="24"/>
        </w:rPr>
        <w:tab/>
      </w:r>
      <w:r>
        <w:rPr>
          <w:rFonts w:hint="eastAsia"/>
          <w:color w:val="auto"/>
          <w:sz w:val="24"/>
          <w:szCs w:val="24"/>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0</w:t>
      </w:r>
    </w:p>
    <w:p w14:paraId="50604851">
      <w:pPr>
        <w:pStyle w:val="47"/>
        <w:pageBreakBefore w:val="0"/>
        <w:tabs>
          <w:tab w:val="right" w:leader="dot" w:pos="9412"/>
          <w:tab w:val="clear" w:pos="8400"/>
        </w:tabs>
        <w:kinsoku/>
        <w:topLinePunct w:val="0"/>
        <w:bidi w:val="0"/>
        <w:spacing w:line="360" w:lineRule="auto"/>
        <w:rPr>
          <w:rFonts w:hint="eastAsia" w:eastAsia="仿宋"/>
          <w:color w:val="auto"/>
          <w:sz w:val="24"/>
          <w:szCs w:val="24"/>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_Toc30759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六、技术条款差异表</w:t>
      </w:r>
      <w:r>
        <w:rPr>
          <w:color w:val="auto"/>
          <w:sz w:val="24"/>
          <w:szCs w:val="24"/>
        </w:rPr>
        <w:tab/>
      </w:r>
      <w:r>
        <w:rPr>
          <w:rFonts w:hint="eastAsia"/>
          <w:color w:val="auto"/>
          <w:sz w:val="24"/>
          <w:szCs w:val="24"/>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w:t>
      </w:r>
    </w:p>
    <w:p w14:paraId="54B4AAFE">
      <w:pPr>
        <w:pStyle w:val="47"/>
        <w:pageBreakBefore w:val="0"/>
        <w:tabs>
          <w:tab w:val="right" w:leader="dot" w:pos="9412"/>
          <w:tab w:val="clear" w:pos="8400"/>
        </w:tabs>
        <w:kinsoku/>
        <w:topLinePunct w:val="0"/>
        <w:bidi w:val="0"/>
        <w:spacing w:line="360" w:lineRule="auto"/>
        <w:rPr>
          <w:rFonts w:hint="eastAsia" w:eastAsia="仿宋"/>
          <w:color w:val="auto"/>
          <w:sz w:val="24"/>
          <w:szCs w:val="24"/>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_Toc6845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七、商务条款差异表</w:t>
      </w:r>
      <w:r>
        <w:rPr>
          <w:color w:val="auto"/>
          <w:sz w:val="24"/>
          <w:szCs w:val="24"/>
        </w:rPr>
        <w:tab/>
      </w:r>
      <w:r>
        <w:rPr>
          <w:rFonts w:hint="eastAsia"/>
          <w:color w:val="auto"/>
          <w:sz w:val="24"/>
          <w:szCs w:val="24"/>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2</w:t>
      </w:r>
    </w:p>
    <w:p w14:paraId="3207052D">
      <w:pPr>
        <w:pStyle w:val="47"/>
        <w:pageBreakBefore w:val="0"/>
        <w:tabs>
          <w:tab w:val="right" w:leader="dot" w:pos="9412"/>
          <w:tab w:val="clear" w:pos="8400"/>
        </w:tabs>
        <w:kinsoku/>
        <w:topLinePunct w:val="0"/>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_Toc13966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八、技术资料</w:t>
      </w:r>
      <w:r>
        <w:rPr>
          <w:color w:val="auto"/>
          <w:sz w:val="24"/>
          <w:szCs w:val="24"/>
        </w:rPr>
        <w:tab/>
      </w:r>
      <w:r>
        <w:rPr>
          <w:rFonts w:hint="eastAsia"/>
          <w:color w:val="auto"/>
          <w:sz w:val="24"/>
          <w:szCs w:val="24"/>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3</w:t>
      </w:r>
    </w:p>
    <w:p w14:paraId="5B15DFFC">
      <w:pPr>
        <w:pStyle w:val="47"/>
        <w:pageBreakBefore w:val="0"/>
        <w:tabs>
          <w:tab w:val="right" w:leader="dot" w:pos="9412"/>
          <w:tab w:val="clear" w:pos="8400"/>
        </w:tabs>
        <w:kinsoku/>
        <w:topLinePunct w:val="0"/>
        <w:bidi w:val="0"/>
        <w:spacing w:line="360" w:lineRule="auto"/>
        <w:rPr>
          <w:rFonts w:hint="eastAsia" w:eastAsia="仿宋"/>
          <w:b/>
          <w:bCs/>
          <w:color w:val="auto"/>
          <w:sz w:val="24"/>
          <w:szCs w:val="24"/>
          <w:lang w:val="en-US" w:eastAsia="zh-CN"/>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_Toc26880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lang w:eastAsia="zh-CN"/>
        </w:rPr>
        <w:t>附件</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投标人信息卡</w:t>
      </w:r>
      <w:r>
        <w:rPr>
          <w:b/>
          <w:bCs/>
          <w:color w:val="auto"/>
          <w:sz w:val="24"/>
          <w:szCs w:val="24"/>
        </w:rPr>
        <w:tab/>
      </w:r>
      <w:r>
        <w:rPr>
          <w:rFonts w:hint="eastAsia"/>
          <w:b/>
          <w:bCs/>
          <w:color w:val="auto"/>
          <w:sz w:val="24"/>
          <w:szCs w:val="24"/>
          <w:lang w:val="en-US" w:eastAsia="zh-CN"/>
        </w:rPr>
        <w:t>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lang w:val="en-US" w:eastAsia="zh-CN"/>
        </w:rPr>
        <w:t>4</w:t>
      </w:r>
    </w:p>
    <w:p w14:paraId="5386098F">
      <w:pPr>
        <w:pStyle w:val="47"/>
        <w:pageBreakBefore w:val="0"/>
        <w:tabs>
          <w:tab w:val="right" w:leader="dot" w:pos="9412"/>
          <w:tab w:val="clear" w:pos="8400"/>
        </w:tabs>
        <w:kinsoku/>
        <w:topLinePunct w:val="0"/>
        <w:bidi w:val="0"/>
        <w:spacing w:line="360" w:lineRule="auto"/>
        <w:rPr>
          <w:rFonts w:hint="eastAsia" w:eastAsia="仿宋"/>
          <w:color w:val="auto"/>
          <w:sz w:val="24"/>
          <w:szCs w:val="24"/>
          <w:lang w:val="en-US" w:eastAsia="zh-CN"/>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_Toc30759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lang w:eastAsia="zh-CN"/>
        </w:rPr>
        <w:t>附件</w:t>
      </w:r>
      <w:r>
        <w:rPr>
          <w:rFonts w:hint="eastAsia" w:ascii="仿宋" w:hAnsi="仿宋" w:eastAsia="仿宋" w:cs="仿宋"/>
          <w:b/>
          <w:bCs/>
          <w:color w:val="auto"/>
          <w:sz w:val="24"/>
          <w:szCs w:val="24"/>
          <w:highlight w:val="none"/>
          <w:lang w:val="en-US" w:eastAsia="zh-CN"/>
        </w:rPr>
        <w:t>2、中崟工程项目管理有限公司项目报名表</w:t>
      </w:r>
      <w:r>
        <w:rPr>
          <w:b/>
          <w:bCs/>
          <w:color w:val="auto"/>
          <w:sz w:val="24"/>
          <w:szCs w:val="24"/>
        </w:rPr>
        <w:tab/>
      </w:r>
      <w:r>
        <w:rPr>
          <w:rFonts w:hint="eastAsia"/>
          <w:b/>
          <w:bCs/>
          <w:color w:val="auto"/>
          <w:sz w:val="24"/>
          <w:szCs w:val="24"/>
          <w:lang w:val="en-US" w:eastAsia="zh-CN"/>
        </w:rPr>
        <w:t>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lang w:val="en-US" w:eastAsia="zh-CN"/>
        </w:rPr>
        <w:t>5</w:t>
      </w:r>
    </w:p>
    <w:p w14:paraId="5FBD122C">
      <w:pPr>
        <w:pStyle w:val="38"/>
        <w:pageBreakBefore w:val="0"/>
        <w:kinsoku/>
        <w:topLinePunct w:val="0"/>
        <w:bidi w:val="0"/>
        <w:spacing w:line="360" w:lineRule="auto"/>
        <w:ind w:firstLine="0" w:firstLineChars="0"/>
        <w:rPr>
          <w:rFonts w:hint="eastAsia" w:ascii="仿宋" w:hAnsi="仿宋" w:eastAsia="仿宋" w:cs="仿宋"/>
          <w:color w:val="auto"/>
          <w:sz w:val="32"/>
          <w:highlight w:val="none"/>
        </w:rPr>
        <w:sectPr>
          <w:headerReference r:id="rId5" w:type="default"/>
          <w:footerReference r:id="rId6" w:type="default"/>
          <w:pgSz w:w="11907" w:h="16840"/>
          <w:pgMar w:top="1134" w:right="1191" w:bottom="1134" w:left="1304" w:header="964" w:footer="992" w:gutter="0"/>
          <w:pgNumType w:fmt="decimal"/>
          <w:cols w:space="720" w:num="1"/>
          <w:docGrid w:linePitch="312" w:charSpace="0"/>
        </w:sectPr>
      </w:pPr>
      <w:r>
        <w:rPr>
          <w:rFonts w:hint="eastAsia" w:ascii="仿宋" w:hAnsi="仿宋" w:eastAsia="仿宋" w:cs="仿宋"/>
          <w:color w:val="auto"/>
          <w:szCs w:val="21"/>
          <w:highlight w:val="none"/>
        </w:rPr>
        <w:fldChar w:fldCharType="end"/>
      </w:r>
    </w:p>
    <w:p w14:paraId="0D4F3622">
      <w:pPr>
        <w:pStyle w:val="3"/>
        <w:pageBreakBefore w:val="0"/>
        <w:kinsoku/>
        <w:topLinePunct w:val="0"/>
        <w:bidi w:val="0"/>
        <w:spacing w:line="360" w:lineRule="auto"/>
        <w:rPr>
          <w:rFonts w:hint="eastAsia" w:ascii="仿宋" w:hAnsi="仿宋" w:eastAsia="仿宋" w:cs="仿宋"/>
          <w:color w:val="auto"/>
          <w:sz w:val="24"/>
          <w:szCs w:val="24"/>
          <w:highlight w:val="none"/>
          <w:u w:val="single"/>
          <w:lang w:val="en-US" w:eastAsia="zh-CN"/>
        </w:rPr>
      </w:pPr>
      <w:bookmarkStart w:id="7" w:name="_Toc4502"/>
      <w:bookmarkStart w:id="8" w:name="_Toc21693"/>
      <w:bookmarkStart w:id="9" w:name="_Toc31300"/>
      <w:bookmarkStart w:id="10" w:name="_Toc25832"/>
      <w:bookmarkStart w:id="11" w:name="_Toc16178"/>
      <w:bookmarkStart w:id="12" w:name="_Toc5284"/>
      <w:bookmarkStart w:id="13" w:name="_Toc1386"/>
      <w:bookmarkStart w:id="14" w:name="_Toc14366"/>
      <w:bookmarkStart w:id="15" w:name="_Toc6967"/>
      <w:bookmarkStart w:id="16" w:name="_Toc9888"/>
      <w:bookmarkStart w:id="17" w:name="_Toc19468"/>
      <w:bookmarkStart w:id="18" w:name="_Toc2977"/>
      <w:bookmarkStart w:id="19" w:name="_Toc21631"/>
      <w:bookmarkStart w:id="20" w:name="_Toc75793495"/>
      <w:bookmarkStart w:id="21" w:name="_Toc5896"/>
      <w:bookmarkStart w:id="22" w:name="_Toc21468"/>
      <w:r>
        <w:rPr>
          <w:rFonts w:hint="eastAsia" w:ascii="仿宋" w:hAnsi="仿宋" w:eastAsia="仿宋" w:cs="仿宋"/>
          <w:b/>
          <w:bCs/>
          <w:color w:val="auto"/>
          <w:highlight w:val="none"/>
        </w:rPr>
        <w:t>第一篇 投标邀请书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1CBC799">
      <w:pPr>
        <w:pageBreakBefore w:val="0"/>
        <w:kinsoku/>
        <w:topLinePunct w:val="0"/>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中崟工程项目管理有限公司</w:t>
      </w:r>
      <w:r>
        <w:rPr>
          <w:rFonts w:hint="eastAsia" w:ascii="仿宋" w:hAnsi="仿宋" w:eastAsia="仿宋" w:cs="仿宋"/>
          <w:color w:val="auto"/>
          <w:sz w:val="24"/>
          <w:szCs w:val="24"/>
          <w:highlight w:val="none"/>
          <w:lang w:val="en-US" w:eastAsia="zh-CN"/>
        </w:rPr>
        <w:t>（以下简称：采购代理机构）受</w:t>
      </w:r>
      <w:r>
        <w:rPr>
          <w:rFonts w:hint="eastAsia" w:ascii="仿宋" w:hAnsi="仿宋" w:eastAsia="仿宋" w:cs="仿宋"/>
          <w:color w:val="auto"/>
          <w:sz w:val="24"/>
          <w:szCs w:val="24"/>
          <w:highlight w:val="none"/>
          <w:u w:val="single"/>
          <w:lang w:val="en-US" w:eastAsia="zh-CN"/>
        </w:rPr>
        <w:t xml:space="preserve"> 中共重庆市大足区委社会工作部</w:t>
      </w:r>
      <w:r>
        <w:rPr>
          <w:rFonts w:hint="eastAsia" w:ascii="仿宋" w:hAnsi="仿宋" w:eastAsia="仿宋" w:cs="仿宋"/>
          <w:color w:val="auto"/>
          <w:sz w:val="24"/>
          <w:szCs w:val="24"/>
          <w:highlight w:val="none"/>
          <w:lang w:val="en-US" w:eastAsia="zh-CN"/>
        </w:rPr>
        <w:t>（以下简称：采购人）的委托，对</w:t>
      </w:r>
      <w:r>
        <w:rPr>
          <w:rFonts w:hint="eastAsia" w:ascii="仿宋" w:hAnsi="仿宋" w:eastAsia="仿宋" w:cs="仿宋"/>
          <w:color w:val="auto"/>
          <w:sz w:val="24"/>
          <w:szCs w:val="24"/>
          <w:highlight w:val="none"/>
          <w:u w:val="single"/>
          <w:lang w:val="en-US" w:eastAsia="zh-CN"/>
        </w:rPr>
        <w:t>大足区新就业群体党群服务中心装修建设项目</w:t>
      </w:r>
      <w:r>
        <w:rPr>
          <w:rFonts w:hint="eastAsia" w:ascii="仿宋" w:hAnsi="仿宋" w:eastAsia="仿宋" w:cs="仿宋"/>
          <w:color w:val="auto"/>
          <w:sz w:val="24"/>
          <w:szCs w:val="24"/>
          <w:highlight w:val="none"/>
          <w:lang w:val="en-US" w:eastAsia="zh-CN"/>
        </w:rPr>
        <w:t>进行竞争性比选，欢迎有资格的供应商参加投标。</w:t>
      </w:r>
    </w:p>
    <w:p w14:paraId="44836F36">
      <w:pPr>
        <w:pStyle w:val="4"/>
        <w:pageBreakBefore w:val="0"/>
        <w:kinsoku/>
        <w:topLinePunct w:val="0"/>
        <w:bidi w:val="0"/>
        <w:spacing w:line="360" w:lineRule="auto"/>
        <w:rPr>
          <w:rFonts w:hint="eastAsia" w:ascii="仿宋" w:hAnsi="仿宋" w:eastAsia="仿宋" w:cs="仿宋"/>
          <w:color w:val="auto"/>
          <w:highlight w:val="none"/>
        </w:rPr>
      </w:pPr>
      <w:bookmarkStart w:id="23" w:name="_Toc19648"/>
      <w:bookmarkStart w:id="24" w:name="_Toc19219"/>
      <w:bookmarkStart w:id="25" w:name="_Toc398"/>
      <w:bookmarkStart w:id="26" w:name="_Toc9233"/>
      <w:bookmarkStart w:id="27" w:name="_Toc14081"/>
      <w:bookmarkStart w:id="28" w:name="_Toc2284"/>
      <w:bookmarkStart w:id="29" w:name="_Toc11858"/>
      <w:bookmarkStart w:id="30" w:name="_Toc75793496"/>
      <w:bookmarkStart w:id="31" w:name="_Toc10092"/>
      <w:bookmarkStart w:id="32" w:name="_Toc8806"/>
      <w:bookmarkStart w:id="33" w:name="_Toc27035"/>
      <w:bookmarkStart w:id="34" w:name="_Toc16810"/>
      <w:bookmarkStart w:id="35" w:name="_Toc19082"/>
      <w:bookmarkStart w:id="36" w:name="_Toc25391"/>
      <w:bookmarkStart w:id="37" w:name="_Toc9774"/>
      <w:bookmarkStart w:id="38" w:name="_Toc7366"/>
      <w:r>
        <w:rPr>
          <w:rFonts w:hint="eastAsia" w:ascii="仿宋" w:hAnsi="仿宋" w:eastAsia="仿宋" w:cs="仿宋"/>
          <w:color w:val="auto"/>
          <w:highlight w:val="none"/>
        </w:rPr>
        <w:t>一、项目内容</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bl>
      <w:tblPr>
        <w:tblStyle w:val="59"/>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gridCol w:w="1863"/>
        <w:gridCol w:w="1687"/>
        <w:gridCol w:w="1604"/>
      </w:tblGrid>
      <w:tr w14:paraId="2598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3554" w:type="dxa"/>
            <w:noWrap w:val="0"/>
            <w:vAlign w:val="center"/>
          </w:tcPr>
          <w:p w14:paraId="455D55D0">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项目名称</w:t>
            </w:r>
          </w:p>
        </w:tc>
        <w:tc>
          <w:tcPr>
            <w:tcW w:w="1863" w:type="dxa"/>
            <w:noWrap w:val="0"/>
            <w:vAlign w:val="center"/>
          </w:tcPr>
          <w:p w14:paraId="6225EC5D">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采购预算</w:t>
            </w:r>
          </w:p>
          <w:p w14:paraId="15861438">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（元）</w:t>
            </w:r>
          </w:p>
        </w:tc>
        <w:tc>
          <w:tcPr>
            <w:tcW w:w="1687" w:type="dxa"/>
            <w:noWrap w:val="0"/>
            <w:vAlign w:val="center"/>
          </w:tcPr>
          <w:p w14:paraId="3DD6D2F0">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投标保证金（元）</w:t>
            </w:r>
          </w:p>
        </w:tc>
        <w:tc>
          <w:tcPr>
            <w:tcW w:w="1604" w:type="dxa"/>
            <w:noWrap w:val="0"/>
            <w:vAlign w:val="center"/>
          </w:tcPr>
          <w:p w14:paraId="05739BCB">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备注</w:t>
            </w:r>
          </w:p>
        </w:tc>
      </w:tr>
      <w:tr w14:paraId="09CD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3554" w:type="dxa"/>
            <w:noWrap w:val="0"/>
            <w:vAlign w:val="center"/>
          </w:tcPr>
          <w:p w14:paraId="1702FEB6">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u w:val="none"/>
                <w:lang w:eastAsia="zh-CN"/>
              </w:rPr>
              <w:t>大足区新就业群体党群服务中心装修建设项目</w:t>
            </w:r>
          </w:p>
        </w:tc>
        <w:tc>
          <w:tcPr>
            <w:tcW w:w="1863" w:type="dxa"/>
            <w:noWrap w:val="0"/>
            <w:vAlign w:val="center"/>
          </w:tcPr>
          <w:p w14:paraId="1E0A4161">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p>
          <w:p w14:paraId="406D92E3">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847697.50</w:t>
            </w:r>
          </w:p>
          <w:p w14:paraId="2FE0ADA3">
            <w:pPr>
              <w:keepNext w:val="0"/>
              <w:keepLines w:val="0"/>
              <w:pageBreakBefore w:val="0"/>
              <w:widowControl/>
              <w:suppressLineNumbers w:val="0"/>
              <w:kinsoku/>
              <w:topLinePunct w:val="0"/>
              <w:bidi w:val="0"/>
              <w:spacing w:line="360" w:lineRule="auto"/>
              <w:ind w:left="0" w:leftChars="0" w:firstLine="480" w:firstLineChars="20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p>
        </w:tc>
        <w:tc>
          <w:tcPr>
            <w:tcW w:w="1687" w:type="dxa"/>
            <w:noWrap w:val="0"/>
            <w:vAlign w:val="center"/>
          </w:tcPr>
          <w:p w14:paraId="56E5432E">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 xml:space="preserve">0.00 </w:t>
            </w:r>
          </w:p>
        </w:tc>
        <w:tc>
          <w:tcPr>
            <w:tcW w:w="1604" w:type="dxa"/>
            <w:noWrap w:val="0"/>
            <w:vAlign w:val="center"/>
          </w:tcPr>
          <w:p w14:paraId="6E5D5330">
            <w:pPr>
              <w:keepNext w:val="0"/>
              <w:keepLines w:val="0"/>
              <w:pageBreakBefore w:val="0"/>
              <w:widowControl/>
              <w:suppressLineNumbers w:val="0"/>
              <w:kinsoku/>
              <w:topLinePunct w:val="0"/>
              <w:bidi w:val="0"/>
              <w:spacing w:line="360" w:lineRule="auto"/>
              <w:ind w:left="0" w:lef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不接受联合体投标</w:t>
            </w:r>
          </w:p>
        </w:tc>
      </w:tr>
    </w:tbl>
    <w:p w14:paraId="70E8569C">
      <w:pPr>
        <w:pStyle w:val="4"/>
        <w:pageBreakBefore w:val="0"/>
        <w:kinsoku/>
        <w:topLinePunct w:val="0"/>
        <w:bidi w:val="0"/>
        <w:spacing w:line="360" w:lineRule="auto"/>
        <w:rPr>
          <w:rFonts w:hint="eastAsia" w:ascii="仿宋" w:hAnsi="仿宋" w:eastAsia="仿宋" w:cs="仿宋"/>
          <w:color w:val="auto"/>
          <w:highlight w:val="none"/>
          <w:lang w:val="en-US" w:eastAsia="zh-CN"/>
        </w:rPr>
      </w:pPr>
      <w:bookmarkStart w:id="39" w:name="_Toc31462"/>
      <w:r>
        <w:rPr>
          <w:rFonts w:hint="eastAsia" w:ascii="仿宋" w:hAnsi="仿宋" w:eastAsia="仿宋" w:cs="仿宋"/>
          <w:color w:val="auto"/>
          <w:highlight w:val="none"/>
          <w:lang w:val="en-US" w:eastAsia="zh-CN"/>
        </w:rPr>
        <w:t>二、资金来源</w:t>
      </w:r>
      <w:bookmarkEnd w:id="39"/>
    </w:p>
    <w:p w14:paraId="079A6E3E">
      <w:pPr>
        <w:pageBreakBefore w:val="0"/>
        <w:kinsoku/>
        <w:topLinePunct w:val="0"/>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bookmarkStart w:id="40" w:name="_Toc895"/>
      <w:bookmarkStart w:id="41" w:name="_Toc2316"/>
      <w:bookmarkStart w:id="42" w:name="_Toc110443981"/>
      <w:bookmarkStart w:id="43" w:name="_Toc26180"/>
      <w:r>
        <w:rPr>
          <w:rFonts w:hint="eastAsia" w:ascii="仿宋" w:hAnsi="仿宋" w:eastAsia="仿宋" w:cs="仿宋"/>
          <w:b w:val="0"/>
          <w:bCs w:val="0"/>
          <w:i w:val="0"/>
          <w:iCs w:val="0"/>
          <w:color w:val="auto"/>
          <w:kern w:val="0"/>
          <w:sz w:val="24"/>
          <w:szCs w:val="24"/>
          <w:highlight w:val="none"/>
          <w:u w:val="none"/>
          <w:lang w:val="en-US" w:eastAsia="zh-CN" w:bidi="ar"/>
        </w:rPr>
        <w:t>财政性资金</w:t>
      </w:r>
      <w:r>
        <w:rPr>
          <w:rFonts w:hint="eastAsia" w:ascii="仿宋" w:hAnsi="仿宋" w:eastAsia="仿宋" w:cs="仿宋"/>
          <w:color w:val="auto"/>
          <w:sz w:val="24"/>
          <w:szCs w:val="24"/>
          <w:highlight w:val="none"/>
          <w:lang w:val="en-US" w:eastAsia="zh-CN"/>
        </w:rPr>
        <w:t>。</w:t>
      </w:r>
    </w:p>
    <w:p w14:paraId="7619EE6E">
      <w:pPr>
        <w:pStyle w:val="4"/>
        <w:pageBreakBefore w:val="0"/>
        <w:kinsoku/>
        <w:topLinePunct w:val="0"/>
        <w:bidi w:val="0"/>
        <w:spacing w:line="360" w:lineRule="auto"/>
        <w:rPr>
          <w:rFonts w:hint="eastAsia" w:ascii="仿宋" w:hAnsi="仿宋" w:eastAsia="仿宋" w:cs="仿宋"/>
          <w:color w:val="auto"/>
          <w:highlight w:val="none"/>
          <w:lang w:val="en-US" w:eastAsia="zh-CN"/>
        </w:rPr>
      </w:pPr>
      <w:bookmarkStart w:id="44" w:name="_Toc30141"/>
      <w:r>
        <w:rPr>
          <w:rFonts w:hint="eastAsia" w:ascii="仿宋" w:hAnsi="仿宋" w:eastAsia="仿宋" w:cs="仿宋"/>
          <w:color w:val="auto"/>
          <w:highlight w:val="none"/>
          <w:lang w:val="en-US" w:eastAsia="zh-CN"/>
        </w:rPr>
        <w:t>三、竞争性比选资格</w:t>
      </w:r>
      <w:bookmarkEnd w:id="40"/>
      <w:bookmarkEnd w:id="41"/>
      <w:bookmarkEnd w:id="42"/>
      <w:bookmarkEnd w:id="43"/>
      <w:bookmarkEnd w:id="44"/>
    </w:p>
    <w:p w14:paraId="4D618945">
      <w:pPr>
        <w:pageBreakBefore w:val="0"/>
        <w:kinsoku/>
        <w:topLinePunct w:val="0"/>
        <w:bidi w:val="0"/>
        <w:snapToGrid w:val="0"/>
        <w:spacing w:line="360" w:lineRule="auto"/>
        <w:ind w:firstLine="240" w:firstLineChars="100"/>
        <w:rPr>
          <w:rFonts w:hint="eastAsia" w:ascii="仿宋" w:hAnsi="仿宋" w:eastAsia="仿宋" w:cs="仿宋"/>
          <w:color w:val="auto"/>
          <w:sz w:val="24"/>
          <w:szCs w:val="24"/>
          <w:highlight w:val="none"/>
          <w:lang w:val="en-US" w:eastAsia="zh-CN"/>
        </w:rPr>
      </w:pPr>
      <w:bookmarkStart w:id="45" w:name="_Toc13568"/>
      <w:bookmarkStart w:id="46" w:name="_Toc23652"/>
      <w:bookmarkStart w:id="47" w:name="_Toc110443983"/>
      <w:bookmarkStart w:id="48" w:name="_Toc9281"/>
      <w:r>
        <w:rPr>
          <w:rFonts w:hint="eastAsia" w:ascii="仿宋" w:hAnsi="仿宋" w:eastAsia="仿宋" w:cs="仿宋"/>
          <w:color w:val="auto"/>
          <w:sz w:val="24"/>
          <w:szCs w:val="24"/>
          <w:highlight w:val="none"/>
          <w:lang w:val="en-US" w:eastAsia="zh-CN"/>
        </w:rPr>
        <w:t>（一）满足《中华人民共和国政府采购法》第二十二条规定。</w:t>
      </w:r>
    </w:p>
    <w:p w14:paraId="1E8EA254">
      <w:pPr>
        <w:pageBreakBefore w:val="0"/>
        <w:kinsoku/>
        <w:topLinePunct w:val="0"/>
        <w:bidi w:val="0"/>
        <w:snapToGrid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落实政府采购政策需满足的资格要求：本项目专门面向中小企业采购，供应商应为中小企业，供应商出具中小企业声明函或监狱企业证明文件或残疾人福利性单位声明函。监狱企业、残疾人福利性单位视同小型、微型企业。</w:t>
      </w:r>
    </w:p>
    <w:p w14:paraId="46DDBBB7">
      <w:pPr>
        <w:pageBreakBefore w:val="0"/>
        <w:kinsoku/>
        <w:topLinePunct w:val="0"/>
        <w:bidi w:val="0"/>
        <w:snapToGrid w:val="0"/>
        <w:spacing w:line="360" w:lineRule="auto"/>
        <w:ind w:firstLine="240" w:firstLineChars="100"/>
        <w:rPr>
          <w:rFonts w:hint="eastAsia" w:ascii="仿宋" w:hAnsi="仿宋" w:eastAsia="仿宋" w:cs="仿宋"/>
          <w:color w:val="auto"/>
          <w:sz w:val="24"/>
          <w:szCs w:val="24"/>
          <w:highlight w:val="none"/>
          <w:lang w:val="en-US" w:eastAsia="zh-CN"/>
        </w:rPr>
      </w:pPr>
      <w:bookmarkStart w:id="49" w:name="_Toc178"/>
      <w:r>
        <w:rPr>
          <w:rFonts w:hint="eastAsia" w:ascii="仿宋" w:hAnsi="仿宋" w:eastAsia="仿宋" w:cs="仿宋"/>
          <w:color w:val="auto"/>
          <w:sz w:val="24"/>
          <w:szCs w:val="24"/>
          <w:highlight w:val="none"/>
          <w:lang w:val="en-US" w:eastAsia="zh-CN"/>
        </w:rPr>
        <w:t>（三）特定资格条件</w:t>
      </w:r>
      <w:bookmarkEnd w:id="49"/>
    </w:p>
    <w:p w14:paraId="67096EC3">
      <w:pPr>
        <w:pageBreakBefore w:val="0"/>
        <w:kinsoku/>
        <w:topLinePunct w:val="0"/>
        <w:bidi w:val="0"/>
        <w:snapToGrid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1.供应商具备建设行政主管部门颁发的</w:t>
      </w:r>
      <w:r>
        <w:rPr>
          <w:rFonts w:hint="eastAsia" w:ascii="仿宋" w:hAnsi="仿宋" w:eastAsia="仿宋" w:cs="仿宋"/>
          <w:b/>
          <w:bCs/>
          <w:color w:val="auto"/>
          <w:sz w:val="24"/>
          <w:szCs w:val="24"/>
          <w:highlight w:val="none"/>
          <w:u w:val="single"/>
          <w:lang w:val="en-US" w:eastAsia="zh-CN"/>
        </w:rPr>
        <w:t>建筑工程施工总承包叁级或建筑装修装饰工程专业承包贰级</w:t>
      </w:r>
      <w:r>
        <w:rPr>
          <w:rFonts w:hint="eastAsia" w:ascii="仿宋" w:hAnsi="仿宋" w:eastAsia="仿宋" w:cs="仿宋"/>
          <w:color w:val="auto"/>
          <w:sz w:val="24"/>
          <w:szCs w:val="24"/>
          <w:highlight w:val="none"/>
          <w:lang w:val="en-US" w:eastAsia="zh-CN"/>
        </w:rPr>
        <w:t>及以上资质。</w:t>
      </w:r>
    </w:p>
    <w:p w14:paraId="09CE1A03">
      <w:pPr>
        <w:pageBreakBefore w:val="0"/>
        <w:kinsoku/>
        <w:topLinePunct w:val="0"/>
        <w:bidi w:val="0"/>
        <w:snapToGrid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注：须提供有效的资质证书副本复印件并加盖公章。</w:t>
      </w:r>
    </w:p>
    <w:p w14:paraId="37C3E5AB">
      <w:pPr>
        <w:pageBreakBefore w:val="0"/>
        <w:kinsoku/>
        <w:topLinePunct w:val="0"/>
        <w:bidi w:val="0"/>
        <w:snapToGrid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2.供应商具备有效的企业法人营业执照。</w:t>
      </w:r>
    </w:p>
    <w:p w14:paraId="2DF4ECB6">
      <w:pPr>
        <w:pageBreakBefore w:val="0"/>
        <w:kinsoku/>
        <w:topLinePunct w:val="0"/>
        <w:bidi w:val="0"/>
        <w:snapToGrid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注：提供有效的营业执照副本复印件并加盖公章。</w:t>
      </w:r>
    </w:p>
    <w:p w14:paraId="2E234277">
      <w:pPr>
        <w:pageBreakBefore w:val="0"/>
        <w:kinsoku/>
        <w:topLinePunct w:val="0"/>
        <w:bidi w:val="0"/>
        <w:snapToGrid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3.供应商具备行业主管部门颁发的有效的安全生产许可证。</w:t>
      </w:r>
    </w:p>
    <w:p w14:paraId="03AF46E8">
      <w:pPr>
        <w:pageBreakBefore w:val="0"/>
        <w:kinsoku/>
        <w:topLinePunct w:val="0"/>
        <w:bidi w:val="0"/>
        <w:snapToGrid w:val="0"/>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注：须提供有效的安全生产许可证复印件并加盖公章。</w:t>
      </w:r>
    </w:p>
    <w:p w14:paraId="588E97C1">
      <w:pPr>
        <w:pStyle w:val="4"/>
        <w:pageBreakBefore w:val="0"/>
        <w:kinsoku/>
        <w:topLinePunct w:val="0"/>
        <w:bidi w:val="0"/>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 xml:space="preserve"> </w:t>
      </w:r>
      <w:bookmarkStart w:id="50" w:name="_Toc901"/>
      <w:r>
        <w:rPr>
          <w:rFonts w:hint="eastAsia" w:ascii="仿宋" w:hAnsi="仿宋" w:eastAsia="仿宋" w:cs="仿宋"/>
          <w:color w:val="auto"/>
          <w:highlight w:val="none"/>
          <w:lang w:val="en-US" w:eastAsia="zh-CN"/>
        </w:rPr>
        <w:t>四、竞争性比选相关说明</w:t>
      </w:r>
      <w:bookmarkEnd w:id="45"/>
      <w:bookmarkEnd w:id="46"/>
      <w:bookmarkEnd w:id="47"/>
      <w:bookmarkEnd w:id="48"/>
      <w:bookmarkEnd w:id="50"/>
    </w:p>
    <w:p w14:paraId="2B772264">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bookmarkStart w:id="51" w:name="_Toc373860294"/>
      <w:bookmarkStart w:id="52" w:name="_Toc4728"/>
      <w:bookmarkStart w:id="53" w:name="_Toc16269"/>
      <w:bookmarkStart w:id="54" w:name="_Toc65660336"/>
      <w:bookmarkStart w:id="55" w:name="_Toc27555"/>
      <w:bookmarkStart w:id="56" w:name="_Toc521053055"/>
      <w:bookmarkStart w:id="57" w:name="_Toc8403"/>
      <w:bookmarkStart w:id="58" w:name="_Toc525047163"/>
      <w:bookmarkStart w:id="59" w:name="_Toc6563"/>
      <w:bookmarkStart w:id="60" w:name="_Toc110443986"/>
      <w:bookmarkStart w:id="61" w:name="_Toc106034776"/>
      <w:bookmarkStart w:id="62" w:name="_Toc485108773"/>
      <w:bookmarkStart w:id="63" w:name="_Toc1943"/>
      <w:r>
        <w:rPr>
          <w:rFonts w:hint="eastAsia" w:ascii="仿宋" w:hAnsi="仿宋" w:eastAsia="仿宋" w:cs="仿宋"/>
          <w:color w:val="auto"/>
          <w:sz w:val="24"/>
          <w:szCs w:val="24"/>
          <w:highlight w:val="none"/>
        </w:rPr>
        <w:t>（一）凡有意参加竞争性比选的供应商须是行采家（https://www.gec123.com/）注册供应商，供应商应按要求进行注册。</w:t>
      </w:r>
    </w:p>
    <w:p w14:paraId="6D884DD1">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（二）凡有意参加采购的供应商，请在</w:t>
      </w:r>
      <w:r>
        <w:rPr>
          <w:rFonts w:hint="eastAsia" w:ascii="仿宋" w:hAnsi="仿宋" w:eastAsia="仿宋" w:cs="仿宋"/>
          <w:color w:val="auto"/>
          <w:sz w:val="24"/>
          <w:szCs w:val="24"/>
          <w:highlight w:val="none"/>
          <w:lang w:eastAsia="zh-CN"/>
        </w:rPr>
        <w:t>行采家（https://www.gec123.com/）</w:t>
      </w:r>
      <w:r>
        <w:rPr>
          <w:rFonts w:hint="eastAsia" w:ascii="仿宋" w:hAnsi="仿宋" w:eastAsia="仿宋" w:cs="仿宋"/>
          <w:color w:val="auto"/>
          <w:sz w:val="24"/>
          <w:szCs w:val="24"/>
          <w:highlight w:val="none"/>
        </w:rPr>
        <w:t>网上下载本项目网上竞采文件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工程量清单</w:t>
      </w:r>
      <w:r>
        <w:rPr>
          <w:rFonts w:hint="eastAsia" w:ascii="仿宋" w:hAnsi="仿宋" w:eastAsia="仿宋" w:cs="仿宋"/>
          <w:color w:val="auto"/>
          <w:sz w:val="24"/>
          <w:szCs w:val="24"/>
          <w:highlight w:val="none"/>
        </w:rPr>
        <w:t>以及补遗等采购前公布的所有项目资料，无论供应商下载与否，均视为已知晓所有采购实质性要求内容，供应商只需线上提交响应文件，不需要线下递交竞标文件。</w:t>
      </w:r>
    </w:p>
    <w:p w14:paraId="0C890A5C">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（三）报名方式</w:t>
      </w:r>
    </w:p>
    <w:p w14:paraId="6184F8D4">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1.报名时间：2026年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日至2026年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（工作时间）。</w:t>
      </w:r>
    </w:p>
    <w:p w14:paraId="01E0C74C">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2.报名费：人民币500元/份（售后不退）。</w:t>
      </w:r>
    </w:p>
    <w:p w14:paraId="65A5D0D7">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3.报名方式：现场报名</w:t>
      </w:r>
    </w:p>
    <w:p w14:paraId="63C69DAF">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规定的报名时间内，供应商到中崟工程项目管理有限公司（重庆市大足区棠香街道五星大道南段229号4幢8-35、8-36），登记递交了《中崟工程项目管理有限公司项目报名表》（格式详见附件）并缴纳报名费，在报名期内按要求报名的供应商响应文件才被接收。</w:t>
      </w:r>
    </w:p>
    <w:p w14:paraId="3A27301A">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）线上报价</w:t>
      </w:r>
    </w:p>
    <w:p w14:paraId="0C0482DC">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1.线上报价时间：按本项目网上公告规定的报价截止时间为准。</w:t>
      </w:r>
    </w:p>
    <w:p w14:paraId="141C0714">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2.线上报价要求：按本项目规定的时间在</w:t>
      </w:r>
      <w:r>
        <w:rPr>
          <w:rFonts w:hint="eastAsia" w:ascii="仿宋" w:hAnsi="仿宋" w:eastAsia="仿宋" w:cs="仿宋"/>
          <w:color w:val="auto"/>
          <w:sz w:val="24"/>
          <w:szCs w:val="24"/>
          <w:highlight w:val="none"/>
          <w:lang w:eastAsia="zh-CN"/>
        </w:rPr>
        <w:t>行采家（https://www.gec123.com/）</w:t>
      </w:r>
      <w:r>
        <w:rPr>
          <w:rFonts w:hint="eastAsia" w:ascii="仿宋" w:hAnsi="仿宋" w:eastAsia="仿宋" w:cs="仿宋"/>
          <w:color w:val="auto"/>
          <w:sz w:val="24"/>
          <w:szCs w:val="24"/>
          <w:highlight w:val="none"/>
        </w:rPr>
        <w:t>进行网上报价，报价时需上传签字盖章完整的PDF格式的电子响应文件，电子文档内容应与纸质文件正本一致，除报价以外的不一致以纸质文件正本为准，未在规定时间内报价并上传响应文件的供应商将视为无效投标</w:t>
      </w:r>
      <w:r>
        <w:rPr>
          <w:rFonts w:hint="eastAsia" w:ascii="仿宋" w:hAnsi="仿宋" w:eastAsia="仿宋" w:cs="仿宋"/>
          <w:color w:val="auto"/>
          <w:sz w:val="24"/>
          <w:szCs w:val="24"/>
          <w:highlight w:val="none"/>
          <w:lang w:eastAsia="zh-CN"/>
        </w:rPr>
        <w:t>。</w:t>
      </w:r>
    </w:p>
    <w:p w14:paraId="25F6BB0D">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2、响应文件递交时间：2026年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(北京时间)（逾期不予受理）</w:t>
      </w:r>
    </w:p>
    <w:p w14:paraId="65EC790C">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3、比选开始时间：2026 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(北京时间）</w:t>
      </w:r>
    </w:p>
    <w:p w14:paraId="701C31BB">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4、比选地点：中崟工程项目管理有限公司开标室（重庆市大足区棠香街道五星大道南段229号4幢8-35、8-36）。</w:t>
      </w:r>
    </w:p>
    <w:p w14:paraId="3C1562E6">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）供应商须满足以下要件，其响应文件才被接受：</w:t>
      </w:r>
    </w:p>
    <w:p w14:paraId="22AA87E5">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（1）提交采购文件购买费缴纳凭据复印件，加盖供应商公章；</w:t>
      </w:r>
    </w:p>
    <w:p w14:paraId="4E96EDAF">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（2）递交“投标人信息卡”（格式详见附件），内容填写完整，加盖供应商公章；</w:t>
      </w:r>
    </w:p>
    <w:p w14:paraId="5FA836AA">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（3）递交项目报名登记表，加盖供应商公章；</w:t>
      </w:r>
    </w:p>
    <w:p w14:paraId="45D92717">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（4）按规定递交投标文件。</w:t>
      </w:r>
    </w:p>
    <w:p w14:paraId="162438A9">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说明：相关原件递交起止时间：如果采购文件要求必须提交的相关原件，其递交时间与投标文件递交时间一致（逾期不予受理）。</w:t>
      </w:r>
    </w:p>
    <w:bookmarkEnd w:id="51"/>
    <w:p w14:paraId="0F5152F1">
      <w:pPr>
        <w:pStyle w:val="4"/>
        <w:pageBreakBefore w:val="0"/>
        <w:kinsoku/>
        <w:topLinePunct w:val="0"/>
        <w:bidi w:val="0"/>
        <w:spacing w:line="360" w:lineRule="auto"/>
        <w:rPr>
          <w:rFonts w:hint="eastAsia" w:ascii="仿宋" w:hAnsi="仿宋" w:eastAsia="仿宋" w:cs="仿宋"/>
          <w:color w:val="auto"/>
          <w:sz w:val="24"/>
          <w:szCs w:val="18"/>
          <w:highlight w:val="none"/>
          <w:lang w:val="en-US" w:eastAsia="zh-CN"/>
        </w:rPr>
      </w:pPr>
      <w:r>
        <w:rPr>
          <w:rFonts w:hint="eastAsia" w:ascii="仿宋" w:hAnsi="仿宋" w:eastAsia="仿宋" w:cs="仿宋"/>
          <w:color w:val="auto"/>
          <w:sz w:val="24"/>
          <w:szCs w:val="24"/>
          <w:highlight w:val="none"/>
          <w:lang w:val="en-US" w:eastAsia="zh-CN"/>
        </w:rPr>
        <w:t xml:space="preserve"> </w:t>
      </w:r>
      <w:bookmarkStart w:id="64" w:name="_Toc25978"/>
      <w:r>
        <w:rPr>
          <w:rFonts w:hint="eastAsia" w:ascii="仿宋" w:hAnsi="仿宋" w:eastAsia="仿宋" w:cs="仿宋"/>
          <w:color w:val="auto"/>
          <w:sz w:val="24"/>
          <w:szCs w:val="18"/>
          <w:highlight w:val="none"/>
          <w:lang w:val="en-US" w:eastAsia="zh-CN"/>
        </w:rPr>
        <w:t>五、其它有关规定</w:t>
      </w:r>
      <w:bookmarkEnd w:id="52"/>
      <w:bookmarkEnd w:id="53"/>
      <w:bookmarkEnd w:id="54"/>
      <w:bookmarkEnd w:id="55"/>
      <w:bookmarkEnd w:id="56"/>
      <w:bookmarkEnd w:id="57"/>
      <w:bookmarkEnd w:id="58"/>
      <w:bookmarkEnd w:id="59"/>
      <w:bookmarkEnd w:id="60"/>
      <w:bookmarkEnd w:id="61"/>
      <w:bookmarkEnd w:id="64"/>
    </w:p>
    <w:p w14:paraId="5F55601E">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360" w:firstLineChars="150"/>
        <w:textAlignment w:val="auto"/>
        <w:rPr>
          <w:rFonts w:hint="eastAsia" w:ascii="仿宋" w:hAnsi="仿宋" w:eastAsia="仿宋" w:cs="仿宋"/>
          <w:color w:val="auto"/>
          <w:sz w:val="24"/>
          <w:szCs w:val="24"/>
          <w:highlight w:val="none"/>
        </w:rPr>
      </w:pPr>
      <w:bookmarkStart w:id="65" w:name="_Toc14306"/>
      <w:bookmarkStart w:id="66" w:name="_Toc110443987"/>
      <w:bookmarkStart w:id="67" w:name="_Toc6795"/>
      <w:r>
        <w:rPr>
          <w:rFonts w:hint="eastAsia" w:ascii="仿宋" w:hAnsi="仿宋" w:eastAsia="仿宋" w:cs="仿宋"/>
          <w:color w:val="auto"/>
          <w:sz w:val="24"/>
          <w:szCs w:val="24"/>
          <w:highlight w:val="none"/>
        </w:rPr>
        <w:t>（一）单位负责人为同一人或者存在直接控股、管理关系的不同供应商，不得参加同一合同项（包）下的政府采购活动，否则均为响应无效。</w:t>
      </w:r>
    </w:p>
    <w:p w14:paraId="7BC0E958">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（二）本项目的补遗文件（如果有）一律在</w:t>
      </w:r>
      <w:r>
        <w:rPr>
          <w:rFonts w:hint="eastAsia" w:ascii="仿宋" w:hAnsi="仿宋" w:eastAsia="仿宋" w:cs="仿宋"/>
          <w:color w:val="auto"/>
          <w:sz w:val="24"/>
          <w:szCs w:val="24"/>
          <w:highlight w:val="none"/>
          <w:lang w:eastAsia="zh-CN"/>
        </w:rPr>
        <w:t>行采家（https://www.gec123.com/）</w:t>
      </w:r>
      <w:r>
        <w:rPr>
          <w:rFonts w:hint="eastAsia" w:ascii="仿宋" w:hAnsi="仿宋" w:eastAsia="仿宋" w:cs="仿宋"/>
          <w:color w:val="auto"/>
          <w:sz w:val="24"/>
          <w:szCs w:val="24"/>
          <w:highlight w:val="none"/>
        </w:rPr>
        <w:t>上发布，请各供应商注意下载；无论供应商下载与否，均视同供应商已知晓本项目补遗文件（如果有）的内容。</w:t>
      </w:r>
    </w:p>
    <w:p w14:paraId="05C128D0">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（三）网上竞采费用：无论网上竞采结果如何，供应商参与本项目网上竞采的所有费用均应由供应商自行承担。</w:t>
      </w:r>
    </w:p>
    <w:p w14:paraId="7BF4D5EB">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（四）本项目不接受联合体参与网上竞采。</w:t>
      </w:r>
    </w:p>
    <w:p w14:paraId="17042D61">
      <w:pPr>
        <w:keepNext w:val="0"/>
        <w:keepLines w:val="0"/>
        <w:pageBreakBefore w:val="0"/>
        <w:widowControl w:val="0"/>
        <w:shd w:val="clear" w:color="auto"/>
        <w:kinsoku/>
        <w:wordWrap/>
        <w:overflowPunct/>
        <w:topLinePunct w:val="0"/>
        <w:autoSpaceDE/>
        <w:autoSpaceDN/>
        <w:bidi w:val="0"/>
        <w:adjustRightInd/>
        <w:snapToGrid w:val="0"/>
        <w:spacing w:line="360" w:lineRule="auto"/>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80233A7">
      <w:pPr>
        <w:pStyle w:val="4"/>
        <w:pageBreakBefore w:val="0"/>
        <w:kinsoku/>
        <w:topLinePunct w:val="0"/>
        <w:bidi w:val="0"/>
        <w:spacing w:line="360" w:lineRule="auto"/>
        <w:rPr>
          <w:rFonts w:hint="eastAsia" w:ascii="仿宋" w:hAnsi="仿宋" w:eastAsia="仿宋" w:cs="仿宋"/>
          <w:color w:val="auto"/>
          <w:sz w:val="24"/>
          <w:szCs w:val="18"/>
          <w:highlight w:val="none"/>
          <w:lang w:val="en-US" w:eastAsia="zh-CN"/>
        </w:rPr>
      </w:pPr>
      <w:bookmarkStart w:id="68" w:name="_Toc19236"/>
      <w:r>
        <w:rPr>
          <w:rFonts w:hint="eastAsia" w:ascii="仿宋" w:hAnsi="仿宋" w:eastAsia="仿宋" w:cs="仿宋"/>
          <w:color w:val="auto"/>
          <w:sz w:val="24"/>
          <w:szCs w:val="18"/>
          <w:highlight w:val="none"/>
          <w:lang w:val="en-US" w:eastAsia="zh-CN"/>
        </w:rPr>
        <w:t>六、联系方式</w:t>
      </w:r>
      <w:bookmarkEnd w:id="62"/>
      <w:bookmarkEnd w:id="63"/>
      <w:bookmarkEnd w:id="65"/>
      <w:bookmarkEnd w:id="66"/>
      <w:bookmarkEnd w:id="67"/>
      <w:bookmarkEnd w:id="68"/>
    </w:p>
    <w:p w14:paraId="376EF1DA">
      <w:pPr>
        <w:pageBreakBefore w:val="0"/>
        <w:kinsoku/>
        <w:topLinePunct w:val="0"/>
        <w:bidi w:val="0"/>
        <w:snapToGrid w:val="0"/>
        <w:spacing w:line="360" w:lineRule="auto"/>
        <w:ind w:firstLine="240" w:firstLineChars="100"/>
        <w:outlineLvl w:val="1"/>
        <w:rPr>
          <w:rFonts w:hint="eastAsia" w:ascii="仿宋" w:hAnsi="仿宋" w:eastAsia="仿宋" w:cs="仿宋"/>
          <w:color w:val="0000FF"/>
          <w:sz w:val="24"/>
          <w:szCs w:val="24"/>
          <w:highlight w:val="none"/>
          <w:lang w:val="en-US" w:eastAsia="zh-CN"/>
        </w:rPr>
      </w:pPr>
      <w:bookmarkStart w:id="69" w:name="_Toc2422"/>
      <w:bookmarkStart w:id="70" w:name="_Toc23143"/>
      <w:bookmarkStart w:id="71" w:name="_Toc2070"/>
      <w:bookmarkStart w:id="72" w:name="_Toc5461"/>
      <w:bookmarkStart w:id="73" w:name="_Toc8649"/>
      <w:bookmarkStart w:id="74" w:name="_Toc25639"/>
      <w:bookmarkStart w:id="75" w:name="_Toc19886"/>
      <w:bookmarkStart w:id="76" w:name="_Toc75793504"/>
      <w:bookmarkStart w:id="77" w:name="_Toc1492"/>
      <w:bookmarkStart w:id="78" w:name="_Toc26176"/>
      <w:bookmarkStart w:id="79" w:name="_Toc11017"/>
      <w:bookmarkStart w:id="80" w:name="_Toc725"/>
      <w:bookmarkStart w:id="81" w:name="_Toc1625"/>
      <w:bookmarkStart w:id="82" w:name="_Toc32686"/>
      <w:bookmarkStart w:id="83" w:name="_Toc12959"/>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0000FF"/>
          <w:sz w:val="24"/>
          <w:szCs w:val="24"/>
          <w:highlight w:val="none"/>
          <w:lang w:val="en-US" w:eastAsia="zh-CN"/>
        </w:rPr>
        <w:t xml:space="preserve">采购人：中共重庆市大足区委社会工作部 </w:t>
      </w:r>
    </w:p>
    <w:p w14:paraId="2DFF4A94">
      <w:pPr>
        <w:pageBreakBefore w:val="0"/>
        <w:kinsoku/>
        <w:topLinePunct w:val="0"/>
        <w:bidi w:val="0"/>
        <w:snapToGrid w:val="0"/>
        <w:spacing w:line="360" w:lineRule="auto"/>
        <w:ind w:firstLine="960" w:firstLineChars="400"/>
        <w:rPr>
          <w:rFonts w:hint="default"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地  址：重庆市大足区北环二路中段1号</w:t>
      </w:r>
    </w:p>
    <w:p w14:paraId="2DA2E84E">
      <w:pPr>
        <w:pageBreakBefore w:val="0"/>
        <w:kinsoku/>
        <w:topLinePunct w:val="0"/>
        <w:bidi w:val="0"/>
        <w:snapToGrid w:val="0"/>
        <w:spacing w:line="360" w:lineRule="auto"/>
        <w:ind w:firstLine="960" w:firstLineChars="400"/>
        <w:rPr>
          <w:rFonts w:hint="default"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联系人：兰老师</w:t>
      </w:r>
    </w:p>
    <w:p w14:paraId="1F03640A">
      <w:pPr>
        <w:pageBreakBefore w:val="0"/>
        <w:kinsoku/>
        <w:topLinePunct w:val="0"/>
        <w:bidi w:val="0"/>
        <w:snapToGrid w:val="0"/>
        <w:spacing w:line="360" w:lineRule="auto"/>
        <w:ind w:firstLine="960" w:firstLineChars="400"/>
        <w:outlineLvl w:val="1"/>
        <w:rPr>
          <w:rFonts w:hint="default"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电  话：17830655154</w:t>
      </w:r>
    </w:p>
    <w:p w14:paraId="27222437">
      <w:pPr>
        <w:pageBreakBefore w:val="0"/>
        <w:kinsoku/>
        <w:topLinePunct w:val="0"/>
        <w:bidi w:val="0"/>
        <w:snapToGrid w:val="0"/>
        <w:spacing w:line="360" w:lineRule="auto"/>
        <w:ind w:firstLine="240" w:firstLineChars="100"/>
        <w:outlineLvl w:val="1"/>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（二）采购代理机构：中崟工程项目管理有限公司</w:t>
      </w:r>
    </w:p>
    <w:p w14:paraId="306A98B0">
      <w:pPr>
        <w:pageBreakBefore w:val="0"/>
        <w:kinsoku/>
        <w:topLinePunct w:val="0"/>
        <w:bidi w:val="0"/>
        <w:snapToGrid w:val="0"/>
        <w:spacing w:line="360" w:lineRule="auto"/>
        <w:ind w:firstLine="960" w:firstLineChars="400"/>
        <w:outlineLvl w:val="1"/>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联系人：吴老师</w:t>
      </w:r>
    </w:p>
    <w:p w14:paraId="5E791A93">
      <w:pPr>
        <w:pageBreakBefore w:val="0"/>
        <w:kinsoku/>
        <w:topLinePunct w:val="0"/>
        <w:bidi w:val="0"/>
        <w:snapToGrid w:val="0"/>
        <w:spacing w:line="360" w:lineRule="auto"/>
        <w:ind w:firstLine="960" w:firstLineChars="400"/>
        <w:outlineLvl w:val="1"/>
        <w:rPr>
          <w:rFonts w:hint="default"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电  话：15730617939</w:t>
      </w:r>
    </w:p>
    <w:p w14:paraId="4BDC7E1A">
      <w:pPr>
        <w:pageBreakBefore w:val="0"/>
        <w:kinsoku/>
        <w:topLinePunct w:val="0"/>
        <w:bidi w:val="0"/>
        <w:snapToGrid w:val="0"/>
        <w:spacing w:line="360" w:lineRule="auto"/>
        <w:ind w:firstLine="960" w:firstLineChars="400"/>
        <w:outlineLvl w:val="1"/>
        <w:rPr>
          <w:rFonts w:hint="eastAsia" w:ascii="仿宋" w:hAnsi="仿宋" w:eastAsia="仿宋" w:cs="仿宋"/>
          <w:color w:val="0000FF"/>
          <w:sz w:val="24"/>
          <w:szCs w:val="24"/>
          <w:highlight w:val="none"/>
          <w:lang w:val="en-US" w:eastAsia="zh-CN"/>
        </w:rPr>
      </w:pPr>
      <w:r>
        <w:rPr>
          <w:rFonts w:hint="eastAsia" w:ascii="仿宋" w:hAnsi="仿宋" w:eastAsia="仿宋" w:cs="仿宋"/>
          <w:color w:val="0000FF"/>
          <w:sz w:val="24"/>
          <w:szCs w:val="24"/>
          <w:highlight w:val="none"/>
          <w:lang w:val="en-US" w:eastAsia="zh-CN"/>
        </w:rPr>
        <w:t>地  址：重庆市大足区棠香街道五星大道南段229号4幢8-35、8-36</w:t>
      </w:r>
    </w:p>
    <w:p w14:paraId="5F931E41">
      <w:pPr>
        <w:pStyle w:val="3"/>
        <w:pageBreakBefore w:val="0"/>
        <w:kinsoku/>
        <w:topLinePunct w:val="0"/>
        <w:bidi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r>
        <w:rPr>
          <w:rFonts w:hint="eastAsia" w:ascii="仿宋" w:hAnsi="仿宋" w:eastAsia="仿宋" w:cs="仿宋"/>
          <w:color w:val="auto"/>
          <w:highlight w:val="none"/>
          <w:lang w:val="en-US" w:eastAsia="zh-CN"/>
        </w:rPr>
        <w:t xml:space="preserve">          </w:t>
      </w:r>
      <w:bookmarkStart w:id="84" w:name="_Toc12086"/>
      <w:r>
        <w:rPr>
          <w:rFonts w:hint="eastAsia" w:ascii="仿宋" w:hAnsi="仿宋" w:eastAsia="仿宋" w:cs="仿宋"/>
          <w:b/>
          <w:bCs/>
          <w:color w:val="auto"/>
          <w:highlight w:val="none"/>
          <w:lang w:val="en-US" w:eastAsia="zh-CN"/>
        </w:rPr>
        <w:t xml:space="preserve">第二篇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仿宋" w:hAnsi="仿宋" w:eastAsia="仿宋" w:cs="仿宋"/>
          <w:b/>
          <w:bCs/>
          <w:color w:val="auto"/>
          <w:highlight w:val="none"/>
          <w:lang w:val="en-US" w:eastAsia="zh-CN"/>
        </w:rPr>
        <w:t>项目技术需求</w:t>
      </w:r>
      <w:bookmarkEnd w:id="84"/>
    </w:p>
    <w:p w14:paraId="64A8ABAB">
      <w:pPr>
        <w:pStyle w:val="4"/>
        <w:pageBreakBefore w:val="0"/>
        <w:numPr>
          <w:ilvl w:val="0"/>
          <w:numId w:val="16"/>
        </w:numPr>
        <w:kinsoku/>
        <w:topLinePunct w:val="0"/>
        <w:bidi w:val="0"/>
        <w:spacing w:line="360" w:lineRule="auto"/>
        <w:rPr>
          <w:rFonts w:hint="eastAsia" w:ascii="仿宋" w:hAnsi="仿宋" w:eastAsia="仿宋" w:cs="仿宋"/>
          <w:highlight w:val="none"/>
        </w:rPr>
      </w:pPr>
      <w:bookmarkStart w:id="85" w:name="_Toc20979"/>
      <w:bookmarkStart w:id="86" w:name="_Toc8370"/>
      <w:bookmarkStart w:id="87" w:name="_Toc11703"/>
      <w:bookmarkStart w:id="88" w:name="_Toc23504"/>
      <w:bookmarkStart w:id="89" w:name="_Toc19238"/>
      <w:bookmarkStart w:id="90" w:name="_Toc23741"/>
      <w:bookmarkStart w:id="91" w:name="_Toc75793505"/>
      <w:bookmarkStart w:id="92" w:name="_Toc29985"/>
      <w:bookmarkStart w:id="93" w:name="_Toc9261"/>
      <w:bookmarkStart w:id="94" w:name="_Toc23656"/>
      <w:bookmarkStart w:id="95" w:name="_Toc7027"/>
      <w:bookmarkStart w:id="96" w:name="_Toc4913"/>
      <w:bookmarkStart w:id="97" w:name="_Toc4519"/>
      <w:bookmarkStart w:id="98" w:name="_Toc688"/>
      <w:bookmarkStart w:id="99" w:name="_Toc22910"/>
      <w:bookmarkStart w:id="100" w:name="_Toc4531"/>
      <w:r>
        <w:rPr>
          <w:rFonts w:hint="eastAsia" w:ascii="仿宋" w:hAnsi="仿宋" w:eastAsia="仿宋" w:cs="仿宋"/>
          <w:highlight w:val="none"/>
        </w:rPr>
        <w:t>项目一览表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tbl>
      <w:tblPr>
        <w:tblStyle w:val="59"/>
        <w:tblpPr w:leftFromText="180" w:rightFromText="180" w:vertAnchor="text" w:horzAnchor="page" w:tblpX="1237" w:tblpY="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8"/>
        <w:gridCol w:w="2605"/>
        <w:gridCol w:w="2128"/>
      </w:tblGrid>
      <w:tr w14:paraId="7096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78" w:type="dxa"/>
            <w:tcBorders>
              <w:top w:val="single" w:color="auto" w:sz="4" w:space="0"/>
              <w:left w:val="single" w:color="auto" w:sz="4" w:space="0"/>
              <w:right w:val="single" w:color="auto" w:sz="4" w:space="0"/>
            </w:tcBorders>
            <w:noWrap w:val="0"/>
            <w:vAlign w:val="center"/>
          </w:tcPr>
          <w:p w14:paraId="3BCC47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w:t>
            </w:r>
          </w:p>
        </w:tc>
        <w:tc>
          <w:tcPr>
            <w:tcW w:w="2605" w:type="dxa"/>
            <w:tcBorders>
              <w:top w:val="single" w:color="auto" w:sz="4" w:space="0"/>
              <w:left w:val="single" w:color="auto" w:sz="4" w:space="0"/>
              <w:right w:val="single" w:color="auto" w:sz="4" w:space="0"/>
            </w:tcBorders>
            <w:noWrap w:val="0"/>
            <w:vAlign w:val="center"/>
          </w:tcPr>
          <w:p w14:paraId="6C6540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数量/单位</w:t>
            </w:r>
          </w:p>
        </w:tc>
        <w:tc>
          <w:tcPr>
            <w:tcW w:w="2128" w:type="dxa"/>
            <w:tcBorders>
              <w:top w:val="single" w:color="auto" w:sz="4" w:space="0"/>
              <w:left w:val="single" w:color="auto" w:sz="4" w:space="0"/>
              <w:right w:val="single" w:color="auto" w:sz="4" w:space="0"/>
            </w:tcBorders>
            <w:noWrap w:val="0"/>
            <w:vAlign w:val="top"/>
          </w:tcPr>
          <w:p w14:paraId="611853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D57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878" w:type="dxa"/>
            <w:tcBorders>
              <w:top w:val="single" w:color="auto" w:sz="4" w:space="0"/>
              <w:left w:val="single" w:color="auto" w:sz="4" w:space="0"/>
              <w:right w:val="single" w:color="auto" w:sz="4" w:space="0"/>
            </w:tcBorders>
            <w:noWrap w:val="0"/>
            <w:vAlign w:val="center"/>
          </w:tcPr>
          <w:p w14:paraId="3D985F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大足区新就业群体党群服务中心装修建设项目</w:t>
            </w:r>
          </w:p>
        </w:tc>
        <w:tc>
          <w:tcPr>
            <w:tcW w:w="2605" w:type="dxa"/>
            <w:tcBorders>
              <w:top w:val="single" w:color="auto" w:sz="4" w:space="0"/>
              <w:left w:val="single" w:color="auto" w:sz="4" w:space="0"/>
              <w:right w:val="single" w:color="auto" w:sz="4" w:space="0"/>
            </w:tcBorders>
            <w:noWrap w:val="0"/>
            <w:vAlign w:val="center"/>
          </w:tcPr>
          <w:p w14:paraId="3952B3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w:t>
            </w:r>
          </w:p>
        </w:tc>
        <w:tc>
          <w:tcPr>
            <w:tcW w:w="2128" w:type="dxa"/>
            <w:tcBorders>
              <w:top w:val="single" w:color="auto" w:sz="4" w:space="0"/>
              <w:left w:val="single" w:color="auto" w:sz="4" w:space="0"/>
              <w:right w:val="single" w:color="auto" w:sz="4" w:space="0"/>
            </w:tcBorders>
            <w:noWrap w:val="0"/>
            <w:vAlign w:val="center"/>
          </w:tcPr>
          <w:p w14:paraId="661CFA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val="en-US" w:eastAsia="zh-CN"/>
              </w:rPr>
              <w:t>附件工程量清单。</w:t>
            </w:r>
          </w:p>
        </w:tc>
      </w:tr>
    </w:tbl>
    <w:p w14:paraId="10BED48A">
      <w:pPr>
        <w:pStyle w:val="4"/>
        <w:pageBreakBefore w:val="0"/>
        <w:kinsoku/>
        <w:topLinePunct w:val="0"/>
        <w:bidi w:val="0"/>
        <w:spacing w:line="360" w:lineRule="auto"/>
        <w:rPr>
          <w:rFonts w:hint="eastAsia" w:ascii="仿宋" w:hAnsi="仿宋" w:eastAsia="仿宋" w:cs="仿宋"/>
          <w:highlight w:val="none"/>
          <w:lang w:val="en-US" w:eastAsia="zh-CN"/>
        </w:rPr>
      </w:pPr>
      <w:bookmarkStart w:id="101" w:name="_Toc15395"/>
      <w:r>
        <w:rPr>
          <w:rFonts w:hint="eastAsia" w:ascii="仿宋" w:hAnsi="仿宋" w:eastAsia="仿宋" w:cs="仿宋"/>
          <w:highlight w:val="none"/>
          <w:lang w:val="en-US" w:eastAsia="zh-CN"/>
        </w:rPr>
        <w:t>二、实施内容及要求</w:t>
      </w:r>
      <w:bookmarkEnd w:id="101"/>
      <w:bookmarkStart w:id="102" w:name="_Toc49960014"/>
      <w:bookmarkStart w:id="103" w:name="_Toc112263720"/>
    </w:p>
    <w:p w14:paraId="4DC643D7">
      <w:pPr>
        <w:pageBreakBefore w:val="0"/>
        <w:kinsoku/>
        <w:topLinePunct w:val="0"/>
        <w:bidi w:val="0"/>
        <w:spacing w:line="360" w:lineRule="auto"/>
        <w:ind w:firstLine="480" w:firstLineChars="200"/>
        <w:outlineLvl w:val="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（一）实施内容</w:t>
      </w:r>
    </w:p>
    <w:p w14:paraId="2D523C7B">
      <w:pPr>
        <w:pStyle w:val="222"/>
        <w:pageBreakBefore w:val="0"/>
        <w:kinsoku/>
        <w:topLinePunct w:val="0"/>
        <w:bidi w:val="0"/>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1.项目名称：大足区新就业群体党群服务中心装修建设项目</w:t>
      </w:r>
    </w:p>
    <w:p w14:paraId="73E78B2E">
      <w:pPr>
        <w:pStyle w:val="222"/>
        <w:pageBreakBefore w:val="0"/>
        <w:kinsoku/>
        <w:topLinePunct w:val="0"/>
        <w:bidi w:val="0"/>
        <w:spacing w:line="360" w:lineRule="auto"/>
        <w:outlineLvl w:val="2"/>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2.建设地点：采购人指定地点</w:t>
      </w:r>
    </w:p>
    <w:p w14:paraId="1C303823">
      <w:pPr>
        <w:pStyle w:val="222"/>
        <w:pageBreakBefore w:val="0"/>
        <w:kinsoku/>
        <w:topLinePunct w:val="0"/>
        <w:bidi w:val="0"/>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3.工程概况：大足区新就业群体党群服务中心装修建设项目 ，具体以招标人提供的工程量清单为准。</w:t>
      </w:r>
    </w:p>
    <w:p w14:paraId="38D08C17">
      <w:pPr>
        <w:pStyle w:val="222"/>
        <w:pageBreakBefore w:val="0"/>
        <w:kinsoku/>
        <w:topLinePunct w:val="0"/>
        <w:bidi w:val="0"/>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4.比选范围：</w:t>
      </w:r>
      <w:bookmarkStart w:id="104" w:name="_Toc6416"/>
      <w:r>
        <w:rPr>
          <w:rFonts w:hint="eastAsia" w:ascii="仿宋" w:hAnsi="仿宋" w:eastAsia="仿宋" w:cs="仿宋"/>
          <w:kern w:val="2"/>
          <w:sz w:val="24"/>
          <w:szCs w:val="24"/>
          <w:highlight w:val="none"/>
          <w:lang w:val="en-US" w:eastAsia="zh-CN" w:bidi="ar-SA"/>
        </w:rPr>
        <w:t>大足区新就业群体党群服务中心装修建设项目 ，具体以招标人提供的工程量清单为准。</w:t>
      </w:r>
    </w:p>
    <w:p w14:paraId="5CB5AAEE">
      <w:pPr>
        <w:pStyle w:val="222"/>
        <w:pageBreakBefore w:val="0"/>
        <w:kinsoku/>
        <w:topLinePunct w:val="0"/>
        <w:bidi w:val="0"/>
        <w:spacing w:line="360" w:lineRule="auto"/>
        <w:rPr>
          <w:rFonts w:hint="eastAsia" w:ascii="仿宋" w:hAnsi="仿宋" w:eastAsia="仿宋" w:cs="仿宋"/>
          <w:kern w:val="2"/>
          <w:sz w:val="24"/>
          <w:szCs w:val="24"/>
          <w:highlight w:val="none"/>
          <w:lang w:val="en-US" w:eastAsia="zh-CN" w:bidi="ar-SA"/>
        </w:rPr>
      </w:pPr>
      <w:bookmarkStart w:id="105" w:name="_Toc8400"/>
      <w:r>
        <w:rPr>
          <w:rFonts w:hint="eastAsia" w:ascii="仿宋" w:hAnsi="仿宋" w:eastAsia="仿宋" w:cs="仿宋"/>
          <w:kern w:val="2"/>
          <w:sz w:val="24"/>
          <w:szCs w:val="24"/>
          <w:highlight w:val="none"/>
          <w:lang w:val="en-US" w:eastAsia="zh-CN" w:bidi="ar-SA"/>
        </w:rPr>
        <w:t>5.质量要求：符合强制性质量标准，符合国家和重庆市现行有关施工质量验收规范要求，并达到合格标准。</w:t>
      </w:r>
      <w:bookmarkEnd w:id="105"/>
    </w:p>
    <w:p w14:paraId="080C0AE4">
      <w:pPr>
        <w:pStyle w:val="222"/>
        <w:pageBreakBefore w:val="0"/>
        <w:kinsoku/>
        <w:topLinePunct w:val="0"/>
        <w:bidi w:val="0"/>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6、工程量清单：投标时按照工程量清单所示内容要求进行编制投标文件，并对工程量清单所示内容进行完全响应，如未完全响应或未响应视为不响应竞争性比选文件。</w:t>
      </w:r>
    </w:p>
    <w:p w14:paraId="32B678B6">
      <w:pPr>
        <w:pStyle w:val="4"/>
        <w:pageBreakBefore w:val="0"/>
        <w:kinsoku/>
        <w:topLinePunct w:val="0"/>
        <w:bidi w:val="0"/>
        <w:spacing w:line="360" w:lineRule="auto"/>
        <w:rPr>
          <w:rFonts w:hint="eastAsia" w:ascii="仿宋" w:hAnsi="仿宋" w:eastAsia="仿宋" w:cs="仿宋"/>
          <w:highlight w:val="none"/>
          <w:lang w:val="en-US" w:eastAsia="zh-CN"/>
        </w:rPr>
      </w:pPr>
      <w:bookmarkStart w:id="106" w:name="_Toc18025"/>
      <w:r>
        <w:rPr>
          <w:rFonts w:hint="eastAsia" w:ascii="仿宋" w:hAnsi="仿宋" w:eastAsia="仿宋" w:cs="仿宋"/>
          <w:highlight w:val="none"/>
          <w:lang w:val="en-US" w:eastAsia="zh-CN"/>
        </w:rPr>
        <w:t>三、</w:t>
      </w:r>
      <w:bookmarkStart w:id="107" w:name="_Toc80863889"/>
      <w:r>
        <w:rPr>
          <w:rFonts w:hint="eastAsia" w:ascii="仿宋" w:hAnsi="仿宋" w:eastAsia="仿宋" w:cs="仿宋"/>
          <w:highlight w:val="none"/>
          <w:lang w:val="en-US" w:eastAsia="zh-CN"/>
        </w:rPr>
        <w:t>现场踏勘</w:t>
      </w:r>
      <w:bookmarkEnd w:id="106"/>
      <w:bookmarkEnd w:id="107"/>
    </w:p>
    <w:bookmarkEnd w:id="104"/>
    <w:p w14:paraId="29B9F8F3">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5D1CD719">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（二）无论供应商是否踏勘过现场，均视为在响应截止时间之前踏勘过现场且对本项目潜在的风险和义务已完全了解，并在其响应文件中</w:t>
      </w:r>
      <w:r>
        <w:rPr>
          <w:rFonts w:hint="eastAsia" w:ascii="仿宋" w:hAnsi="仿宋" w:eastAsia="仿宋" w:cs="仿宋"/>
          <w:b/>
          <w:bCs/>
          <w:kern w:val="2"/>
          <w:sz w:val="24"/>
          <w:szCs w:val="24"/>
          <w:highlight w:val="none"/>
          <w:lang w:val="en-US" w:eastAsia="zh-CN" w:bidi="ar-SA"/>
        </w:rPr>
        <w:t>自行承诺（格式自拟）</w:t>
      </w:r>
      <w:r>
        <w:rPr>
          <w:rFonts w:hint="eastAsia" w:ascii="仿宋" w:hAnsi="仿宋" w:eastAsia="仿宋" w:cs="仿宋"/>
          <w:kern w:val="2"/>
          <w:sz w:val="24"/>
          <w:szCs w:val="24"/>
          <w:highlight w:val="none"/>
          <w:lang w:val="en-US" w:eastAsia="zh-CN" w:bidi="ar-SA"/>
        </w:rPr>
        <w:t>已充分考虑了本项目可能面临的不确定因素可能导致的风险，成交供应商不得以不完全了解现场情况为借口而提出延长服务期限或提出额外赔偿等要求。</w:t>
      </w:r>
    </w:p>
    <w:p w14:paraId="2E8B5B86">
      <w:pPr>
        <w:pStyle w:val="4"/>
        <w:pageBreakBefore w:val="0"/>
        <w:kinsoku/>
        <w:topLinePunct w:val="0"/>
        <w:bidi w:val="0"/>
        <w:spacing w:line="360" w:lineRule="auto"/>
        <w:rPr>
          <w:rFonts w:hint="eastAsia" w:ascii="仿宋" w:hAnsi="仿宋" w:eastAsia="仿宋" w:cs="仿宋"/>
          <w:highlight w:val="none"/>
          <w:lang w:val="en-US" w:eastAsia="zh-CN"/>
        </w:rPr>
      </w:pPr>
      <w:bookmarkStart w:id="108" w:name="_Toc11993"/>
      <w:bookmarkStart w:id="109" w:name="_Toc19680"/>
      <w:bookmarkStart w:id="110" w:name="_Toc28054"/>
      <w:r>
        <w:rPr>
          <w:rFonts w:hint="eastAsia" w:ascii="仿宋" w:hAnsi="仿宋" w:eastAsia="仿宋" w:cs="仿宋"/>
          <w:highlight w:val="none"/>
          <w:lang w:val="en-US" w:eastAsia="zh-CN"/>
        </w:rPr>
        <w:t>四、安全要求</w:t>
      </w:r>
      <w:bookmarkEnd w:id="108"/>
      <w:bookmarkEnd w:id="109"/>
    </w:p>
    <w:bookmarkEnd w:id="110"/>
    <w:p w14:paraId="7BECDB1F">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供应商在响应文件中</w:t>
      </w:r>
      <w:r>
        <w:rPr>
          <w:rFonts w:hint="eastAsia" w:ascii="仿宋" w:hAnsi="仿宋" w:eastAsia="仿宋" w:cs="仿宋"/>
          <w:b/>
          <w:bCs/>
          <w:kern w:val="2"/>
          <w:sz w:val="24"/>
          <w:szCs w:val="24"/>
          <w:highlight w:val="none"/>
          <w:lang w:val="en-US" w:eastAsia="zh-CN" w:bidi="ar-SA"/>
        </w:rPr>
        <w:t>自行承诺（格式自拟）</w:t>
      </w:r>
      <w:r>
        <w:rPr>
          <w:rFonts w:hint="eastAsia" w:ascii="仿宋" w:hAnsi="仿宋" w:eastAsia="仿宋" w:cs="仿宋"/>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40EF525F">
      <w:pPr>
        <w:pageBreakBefore w:val="0"/>
        <w:kinsoku/>
        <w:topLinePunct w:val="0"/>
        <w:bidi w:val="0"/>
        <w:spacing w:line="360" w:lineRule="auto"/>
        <w:rPr>
          <w:rFonts w:hint="eastAsia" w:ascii="仿宋" w:hAnsi="仿宋" w:eastAsia="仿宋" w:cs="仿宋"/>
          <w:b/>
          <w:kern w:val="2"/>
          <w:sz w:val="28"/>
          <w:highlight w:val="none"/>
          <w:lang w:val="en-US" w:eastAsia="zh-CN" w:bidi="ar-SA"/>
        </w:rPr>
      </w:pPr>
      <w:r>
        <w:rPr>
          <w:rFonts w:hint="eastAsia" w:ascii="仿宋" w:hAnsi="仿宋" w:eastAsia="仿宋" w:cs="仿宋"/>
          <w:b/>
          <w:kern w:val="2"/>
          <w:sz w:val="28"/>
          <w:highlight w:val="none"/>
          <w:lang w:val="en-US" w:eastAsia="zh-CN" w:bidi="ar-SA"/>
        </w:rPr>
        <w:t>五、其他要求</w:t>
      </w:r>
    </w:p>
    <w:p w14:paraId="0F60F1AC">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w:t>
      </w:r>
      <w:r>
        <w:rPr>
          <w:rFonts w:hint="eastAsia" w:ascii="仿宋" w:hAnsi="仿宋" w:eastAsia="仿宋" w:cs="仿宋"/>
          <w:b/>
          <w:bCs/>
          <w:kern w:val="2"/>
          <w:sz w:val="24"/>
          <w:szCs w:val="24"/>
          <w:highlight w:val="none"/>
          <w:lang w:val="en-US" w:eastAsia="zh-CN" w:bidi="ar-SA"/>
        </w:rPr>
        <w:t>自行承诺（格式自拟）</w:t>
      </w:r>
      <w:r>
        <w:rPr>
          <w:rFonts w:hint="eastAsia" w:ascii="仿宋" w:hAnsi="仿宋" w:eastAsia="仿宋" w:cs="仿宋"/>
          <w:kern w:val="2"/>
          <w:sz w:val="24"/>
          <w:szCs w:val="24"/>
          <w:highlight w:val="none"/>
          <w:lang w:val="en-US" w:eastAsia="zh-CN" w:bidi="ar-SA"/>
        </w:rPr>
        <w:t>不得存在下列情形之一：</w:t>
      </w:r>
    </w:p>
    <w:p w14:paraId="17E354C2">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（1）被人民法院列入失信被执行人名单且在被执行期内；</w:t>
      </w:r>
    </w:p>
    <w:p w14:paraId="695E4442">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（2）被列入《重庆市工程建设领域招标投标信用管理暂行办法》规定的重点关注名单且记分达到12分且在记分有效期内；</w:t>
      </w:r>
    </w:p>
    <w:p w14:paraId="25A24B6E">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（3）被列入《重庆市工程建设领域招标投标信用管理暂行办法》规定的重庆市工程建设领域招标投标失信惩戒对象名单（以下称黑名单）且在记分有效期内；</w:t>
      </w:r>
    </w:p>
    <w:p w14:paraId="4E228DC6">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（4）被国家、重庆市（含市或任意区县）有关行政部门处以暂停投标资格行政处罚，且在处罚期限内；</w:t>
      </w:r>
    </w:p>
    <w:p w14:paraId="4CE8C4E3">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（5）被重庆市市级有关行业主管部门暂停在渝承揽新业务且在暂停期内；</w:t>
      </w:r>
    </w:p>
    <w:p w14:paraId="2FE5F8A0">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（6）被责令停业，暂扣或吊销执照，或吊销资质证书；</w:t>
      </w:r>
    </w:p>
    <w:p w14:paraId="31D6879B">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（7）进入清算程序，或被宣告破产，或其他丧失履约能力的情形；</w:t>
      </w:r>
    </w:p>
    <w:p w14:paraId="39528905">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（8）在国家企业信用信息公示系统（http://www.gsxt.gov.cn/）中被列入严重违法失信企业名单；</w:t>
      </w:r>
    </w:p>
    <w:p w14:paraId="3643261C">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（9）投标人或其法定代表人、拟委任的项目经理在近两年内有行贿犯罪行为的。</w:t>
      </w:r>
    </w:p>
    <w:p w14:paraId="751EB9E7">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（10）供应商不符合渝交规[2021]29 号《重庆市公路建设市场信用管理实施细则》、渝交规[2022]18 号《重庆市交通局关于进一步加强重庆市公路建设市场准入管理的通知》相关规定。</w:t>
      </w:r>
    </w:p>
    <w:p w14:paraId="44169C19">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br w:type="page"/>
      </w:r>
    </w:p>
    <w:bookmarkEnd w:id="102"/>
    <w:bookmarkEnd w:id="103"/>
    <w:p w14:paraId="0CF8B80B">
      <w:pPr>
        <w:pStyle w:val="3"/>
        <w:pageBreakBefore w:val="0"/>
        <w:kinsoku/>
        <w:topLinePunct w:val="0"/>
        <w:bidi w:val="0"/>
        <w:spacing w:line="360" w:lineRule="auto"/>
        <w:jc w:val="center"/>
        <w:rPr>
          <w:rFonts w:hint="eastAsia" w:ascii="仿宋" w:hAnsi="仿宋" w:eastAsia="仿宋" w:cs="仿宋"/>
          <w:color w:val="auto"/>
          <w:highlight w:val="none"/>
          <w:lang w:val="en-US" w:eastAsia="zh-CN"/>
        </w:rPr>
      </w:pPr>
      <w:bookmarkStart w:id="111" w:name="_Toc75793508"/>
      <w:bookmarkStart w:id="112" w:name="_Toc31584"/>
      <w:bookmarkStart w:id="113" w:name="_Toc19536"/>
      <w:bookmarkStart w:id="114" w:name="_Toc9920"/>
      <w:bookmarkStart w:id="115" w:name="_Toc9326"/>
      <w:bookmarkStart w:id="116" w:name="_Toc8633"/>
      <w:bookmarkStart w:id="117" w:name="_Toc21557"/>
      <w:bookmarkStart w:id="118" w:name="_Toc15467"/>
      <w:bookmarkStart w:id="119" w:name="_Toc20842"/>
      <w:bookmarkStart w:id="120" w:name="_Toc13990"/>
      <w:bookmarkStart w:id="121" w:name="_Toc1363"/>
      <w:bookmarkStart w:id="122" w:name="_Toc18187"/>
      <w:bookmarkStart w:id="123" w:name="_Toc2095"/>
      <w:bookmarkStart w:id="124" w:name="_Toc26363"/>
      <w:bookmarkStart w:id="125" w:name="_Toc28164"/>
      <w:bookmarkStart w:id="126" w:name="_Toc11667"/>
      <w:r>
        <w:rPr>
          <w:rFonts w:hint="eastAsia" w:ascii="仿宋" w:hAnsi="仿宋" w:eastAsia="仿宋" w:cs="仿宋"/>
          <w:b/>
          <w:bCs/>
          <w:color w:val="auto"/>
          <w:highlight w:val="none"/>
          <w:lang w:val="en-US" w:eastAsia="zh-CN"/>
        </w:rPr>
        <w:t xml:space="preserve">第三篇  </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仿宋" w:hAnsi="仿宋" w:eastAsia="仿宋" w:cs="仿宋"/>
          <w:b/>
          <w:bCs/>
          <w:color w:val="auto"/>
          <w:highlight w:val="none"/>
          <w:lang w:val="en-US" w:eastAsia="zh-CN"/>
        </w:rPr>
        <w:t>项目商务需求</w:t>
      </w:r>
      <w:bookmarkEnd w:id="126"/>
      <w:bookmarkStart w:id="127" w:name="_Toc267320049"/>
    </w:p>
    <w:p w14:paraId="318C1B83">
      <w:pPr>
        <w:pStyle w:val="4"/>
        <w:pageBreakBefore w:val="0"/>
        <w:kinsoku/>
        <w:topLinePunct w:val="0"/>
        <w:bidi w:val="0"/>
        <w:spacing w:line="360" w:lineRule="auto"/>
        <w:rPr>
          <w:rFonts w:hint="eastAsia" w:ascii="仿宋" w:hAnsi="仿宋" w:eastAsia="仿宋" w:cs="仿宋"/>
          <w:color w:val="auto"/>
          <w:highlight w:val="none"/>
          <w:lang w:val="en-US" w:eastAsia="zh-CN"/>
        </w:rPr>
      </w:pPr>
      <w:bookmarkStart w:id="128" w:name="_Toc14029"/>
      <w:bookmarkStart w:id="129" w:name="_Toc23501"/>
      <w:bookmarkStart w:id="130" w:name="_Toc10039"/>
      <w:bookmarkStart w:id="131" w:name="_Toc8752"/>
      <w:bookmarkStart w:id="132" w:name="_Toc30118"/>
      <w:bookmarkStart w:id="133" w:name="_Toc13728"/>
      <w:bookmarkStart w:id="134" w:name="_Toc9676"/>
      <w:bookmarkStart w:id="135" w:name="_Toc13389"/>
      <w:bookmarkStart w:id="136" w:name="_Toc12768"/>
      <w:bookmarkStart w:id="137" w:name="_Toc21429"/>
      <w:bookmarkStart w:id="138" w:name="_Toc11380"/>
      <w:bookmarkStart w:id="139" w:name="_Toc22944"/>
      <w:bookmarkStart w:id="140" w:name="_Toc6595"/>
      <w:bookmarkStart w:id="141" w:name="_Toc28521"/>
      <w:bookmarkStart w:id="142" w:name="_Toc75793509"/>
      <w:bookmarkStart w:id="143" w:name="_Toc17251"/>
      <w:r>
        <w:rPr>
          <w:rFonts w:hint="eastAsia" w:ascii="仿宋" w:hAnsi="仿宋" w:eastAsia="仿宋" w:cs="仿宋"/>
          <w:color w:val="auto"/>
          <w:highlight w:val="none"/>
          <w:lang w:val="en-US" w:eastAsia="zh-CN"/>
        </w:rPr>
        <w:t>一、</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highlight w:val="none"/>
          <w:lang w:val="en-US" w:eastAsia="zh-CN"/>
        </w:rPr>
        <w:t>实施时间、地点、要求及验收方式</w:t>
      </w:r>
      <w:bookmarkEnd w:id="143"/>
    </w:p>
    <w:p w14:paraId="3E3FFF4C">
      <w:pPr>
        <w:pageBreakBefore w:val="0"/>
        <w:kinsoku/>
        <w:topLinePunct w:val="0"/>
        <w:bidi w:val="0"/>
        <w:spacing w:line="360" w:lineRule="auto"/>
        <w:ind w:firstLine="480" w:firstLineChars="20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1、实施时间</w:t>
      </w:r>
    </w:p>
    <w:p w14:paraId="23D3578C">
      <w:pPr>
        <w:pageBreakBefore w:val="0"/>
        <w:kinsoku/>
        <w:topLinePunct w:val="0"/>
        <w:bidi w:val="0"/>
        <w:spacing w:line="360" w:lineRule="auto"/>
        <w:ind w:firstLine="480" w:firstLineChars="200"/>
        <w:rPr>
          <w:rFonts w:hint="eastAsia" w:ascii="仿宋" w:hAnsi="仿宋" w:eastAsia="仿宋" w:cs="仿宋"/>
          <w:color w:val="0000FF"/>
          <w:kern w:val="2"/>
          <w:sz w:val="24"/>
          <w:szCs w:val="24"/>
          <w:highlight w:val="none"/>
          <w:lang w:val="en-US" w:eastAsia="zh-CN" w:bidi="ar-SA"/>
        </w:rPr>
      </w:pPr>
      <w:r>
        <w:rPr>
          <w:rFonts w:hint="eastAsia" w:ascii="仿宋" w:hAnsi="仿宋" w:eastAsia="仿宋" w:cs="仿宋"/>
          <w:color w:val="0000FF"/>
          <w:kern w:val="2"/>
          <w:sz w:val="24"/>
          <w:szCs w:val="24"/>
          <w:highlight w:val="none"/>
          <w:lang w:val="en-US" w:eastAsia="zh-CN" w:bidi="ar-SA"/>
        </w:rPr>
        <w:t>60个日历天。</w:t>
      </w:r>
    </w:p>
    <w:p w14:paraId="6DAE7EB5">
      <w:pPr>
        <w:pageBreakBefore w:val="0"/>
        <w:kinsoku/>
        <w:topLinePunct w:val="0"/>
        <w:bidi w:val="0"/>
        <w:spacing w:line="360" w:lineRule="auto"/>
        <w:ind w:firstLine="480" w:firstLineChars="20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2、实施地点</w:t>
      </w:r>
    </w:p>
    <w:p w14:paraId="0B3F683C">
      <w:pPr>
        <w:pageBreakBefore w:val="0"/>
        <w:kinsoku/>
        <w:topLinePunct w:val="0"/>
        <w:bidi w:val="0"/>
        <w:spacing w:line="360" w:lineRule="auto"/>
        <w:ind w:firstLine="480" w:firstLineChars="200"/>
        <w:outlineLvl w:val="1"/>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采购人指定地点。</w:t>
      </w:r>
    </w:p>
    <w:p w14:paraId="640E6DCA">
      <w:pPr>
        <w:pageBreakBefore w:val="0"/>
        <w:kinsoku/>
        <w:topLinePunct w:val="0"/>
        <w:bidi w:val="0"/>
        <w:spacing w:line="360" w:lineRule="auto"/>
        <w:ind w:firstLine="480" w:firstLineChars="20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3、实施要求</w:t>
      </w:r>
    </w:p>
    <w:p w14:paraId="470E287C">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本项目中标人加强施工期间安全管理，做到安全施工、文明施工，并做好相应的施工安全公告及警戒标识，为施工人员购买工伤保险和人身意外保险。</w:t>
      </w:r>
    </w:p>
    <w:p w14:paraId="45DF07F3">
      <w:pPr>
        <w:pageBreakBefore w:val="0"/>
        <w:kinsoku/>
        <w:topLinePunct w:val="0"/>
        <w:bidi w:val="0"/>
        <w:spacing w:line="360" w:lineRule="auto"/>
        <w:ind w:firstLine="480" w:firstLineChars="20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4、验收方式</w:t>
      </w:r>
    </w:p>
    <w:p w14:paraId="5F915DE2">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bookmarkStart w:id="144" w:name="_Toc22158"/>
      <w:bookmarkStart w:id="145" w:name="_Toc7746"/>
      <w:bookmarkStart w:id="146" w:name="_Toc21022"/>
      <w:bookmarkStart w:id="147" w:name="_Toc18152"/>
      <w:bookmarkStart w:id="148" w:name="_Toc22142"/>
      <w:bookmarkStart w:id="149" w:name="_Toc20367"/>
      <w:bookmarkStart w:id="150" w:name="_Toc29436"/>
      <w:bookmarkStart w:id="151" w:name="_Toc29144"/>
      <w:bookmarkStart w:id="152" w:name="_Toc30781"/>
      <w:bookmarkStart w:id="153" w:name="_Toc8592"/>
      <w:bookmarkStart w:id="154" w:name="_Toc13418"/>
      <w:bookmarkStart w:id="155" w:name="_Toc1484"/>
      <w:bookmarkStart w:id="156" w:name="_Toc4036"/>
      <w:bookmarkStart w:id="157" w:name="_Toc75793510"/>
      <w:bookmarkStart w:id="158" w:name="_Toc28679"/>
      <w:bookmarkStart w:id="159" w:name="_Toc267320050"/>
      <w:r>
        <w:rPr>
          <w:rFonts w:hint="eastAsia" w:ascii="仿宋" w:hAnsi="仿宋" w:eastAsia="仿宋" w:cs="仿宋"/>
          <w:kern w:val="2"/>
          <w:sz w:val="24"/>
          <w:szCs w:val="24"/>
          <w:highlight w:val="none"/>
          <w:lang w:val="en-US" w:eastAsia="zh-CN" w:bidi="ar-SA"/>
        </w:rPr>
        <w:t>（1）施工过程应遵照现行国家有关规范进行，采购人按照有关要求自行组织进行检查验收。成交供应商应保证工程质量，工程用建筑材料须符合国家及行业标准，质量要求：</w:t>
      </w:r>
      <w:r>
        <w:rPr>
          <w:rFonts w:hint="eastAsia" w:ascii="仿宋" w:hAnsi="仿宋" w:eastAsia="仿宋" w:cs="仿宋"/>
          <w:b/>
          <w:bCs/>
          <w:kern w:val="2"/>
          <w:sz w:val="24"/>
          <w:szCs w:val="24"/>
          <w:highlight w:val="none"/>
          <w:lang w:val="en-US" w:eastAsia="zh-CN" w:bidi="ar-SA"/>
        </w:rPr>
        <w:t>工程质量符合强制性质量标准，符合国家和重庆市现行有关施工质量验收规范要求，并达到合格标准。</w:t>
      </w:r>
    </w:p>
    <w:p w14:paraId="60EE06DF">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（2）工程完工后，按国家相关标准验收程序和规程进行验收并签字确认。验收的相关费用由成交供应商承担。</w:t>
      </w:r>
    </w:p>
    <w:p w14:paraId="45316B7C">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（3）成交供应商未达到采购文件的要求，且对采购人造成损失的，由成交供应商承担一切责任，并赔偿所造成的损失。</w:t>
      </w:r>
    </w:p>
    <w:p w14:paraId="0848E9DF">
      <w:pPr>
        <w:pageBreakBefore w:val="0"/>
        <w:kinsoku/>
        <w:topLinePunct w:val="0"/>
        <w:bidi w:val="0"/>
        <w:spacing w:line="360" w:lineRule="auto"/>
        <w:ind w:firstLine="482" w:firstLineChars="200"/>
        <w:rPr>
          <w:rFonts w:hint="eastAsia" w:ascii="仿宋" w:hAnsi="仿宋" w:eastAsia="仿宋" w:cs="仿宋"/>
          <w:b/>
          <w:bCs/>
          <w:kern w:val="2"/>
          <w:sz w:val="24"/>
          <w:szCs w:val="24"/>
          <w:highlight w:val="none"/>
          <w:lang w:val="en-US" w:eastAsia="zh-CN" w:bidi="ar-SA"/>
        </w:rPr>
      </w:pPr>
      <w:bookmarkStart w:id="160" w:name="_Toc16331"/>
      <w:bookmarkStart w:id="161" w:name="_Toc6005"/>
      <w:r>
        <w:rPr>
          <w:rFonts w:hint="eastAsia" w:ascii="仿宋" w:hAnsi="仿宋" w:eastAsia="仿宋" w:cs="仿宋"/>
          <w:b/>
          <w:bCs/>
          <w:kern w:val="2"/>
          <w:sz w:val="24"/>
          <w:szCs w:val="24"/>
          <w:highlight w:val="none"/>
          <w:lang w:val="en-US" w:eastAsia="zh-CN" w:bidi="ar-SA"/>
        </w:rPr>
        <w:t>二、项目质量要求及质量保证</w:t>
      </w:r>
      <w:bookmarkEnd w:id="160"/>
      <w:bookmarkEnd w:id="161"/>
    </w:p>
    <w:p w14:paraId="14B15C6C">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（一）缺陷责任期及质保期：</w:t>
      </w:r>
    </w:p>
    <w:p w14:paraId="47684999">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1.缺陷责任期为24个月，从施工完毕验收合格之日起计算。</w:t>
      </w:r>
    </w:p>
    <w:p w14:paraId="11C399F8">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2.工程保修期按国家及相关规定、《建设工程质量管理条例》执行：</w:t>
      </w:r>
    </w:p>
    <w:p w14:paraId="3FA744CC">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2.1基础设施工程、房屋建筑的地基基础工程和主体结构工程，为设计文件规定的该工程的合理使用年限。</w:t>
      </w:r>
    </w:p>
    <w:p w14:paraId="1D8A315E">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2.2屋面防水工程、有防水要求的卫生间、房间和外墙面的防渗漏，为5年。</w:t>
      </w:r>
    </w:p>
    <w:p w14:paraId="4BCF8920">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2.3供热与供冷系统，为2个采暖期、供冷期。</w:t>
      </w:r>
    </w:p>
    <w:p w14:paraId="4788109E">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2.4电气管线、给排水管道、设备安装和装修工程，为2年。</w:t>
      </w:r>
    </w:p>
    <w:p w14:paraId="312930C2">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2.5工程保修期自工程竣工验收合格(以竣工验收报告日期为准)之日起计算。</w:t>
      </w:r>
    </w:p>
    <w:p w14:paraId="319F49C0">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2.6工程在保修范围和保修期限内发生质量问题的，中标人（施工单位）应当履行保修义务，并对造成的损失承担赔偿责任。</w:t>
      </w:r>
    </w:p>
    <w:p w14:paraId="25100A51">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二）工程设施设备和材料质量总体要求：工程相关设施设备和材料必须货真价实，符合环保节能要求，假冒伪劣产品不得参与政府采购；设施设备和材料的各项手续、文件必须真实完整有效；其他材料各项质量指标必须符合国家技术质量监督机构及有关管理部门和行业的规定和标准。</w:t>
      </w:r>
    </w:p>
    <w:p w14:paraId="31C77FD2">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（三）施工过程中应遵照现行国家有关及规程规范进行施工，按照有关要求进行检查验收。中标人提供的所有施工设施设备和材料应有完善的质量检测手段和质量保证体系，必须符合国家标准和行业标准。</w:t>
      </w:r>
    </w:p>
    <w:p w14:paraId="380F0529">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（四）项目所需货物到达采购人现场所在地完好无损，如有缺漏、损坏，由中标人负责调换、补齐或赔偿。</w:t>
      </w:r>
    </w:p>
    <w:p w14:paraId="22B68973">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（五）中标人使用的项目所需货物及材料未达到比选文件规定要求，且对采购人造成损失的，由中标人承担一切责任，并赔偿所造成的损失。</w:t>
      </w:r>
    </w:p>
    <w:p w14:paraId="379CC7BD">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（六）工程保修期内施工质量缺陷的维护及维修（非人为损坏）均由中标人承担。</w:t>
      </w:r>
    </w:p>
    <w:p w14:paraId="26E00BFE">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七）工程保修期内，所有设施设备维护和施工质量缺陷维修均为现场服务，由此产生的费用均不再收取。中标人应在采购人通知24小时内到现场进行维修维护，中标人如在接到采购人通知后5个工作日内未进行维修，甲方有权派遣第三方进行整改，产生的费用，从乙方质保金中扣除。</w:t>
      </w:r>
    </w:p>
    <w:p w14:paraId="1DCB67A1">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（八）采购人所采购的货物若属于国家规定“三包”范围的，其产品质量保证期不得低于“三包”规定。</w:t>
      </w:r>
    </w:p>
    <w:p w14:paraId="08D4FE68">
      <w:pPr>
        <w:pStyle w:val="4"/>
        <w:pageBreakBefore w:val="0"/>
        <w:kinsoku/>
        <w:topLinePunct w:val="0"/>
        <w:bidi w:val="0"/>
        <w:spacing w:line="360" w:lineRule="auto"/>
        <w:rPr>
          <w:rFonts w:hint="eastAsia" w:ascii="仿宋" w:hAnsi="仿宋" w:eastAsia="仿宋" w:cs="仿宋"/>
          <w:color w:val="auto"/>
          <w:highlight w:val="none"/>
          <w:lang w:val="en-US" w:eastAsia="zh-CN"/>
        </w:rPr>
      </w:pPr>
      <w:bookmarkStart w:id="162" w:name="_Toc12667"/>
      <w:r>
        <w:rPr>
          <w:rFonts w:hint="eastAsia" w:ascii="仿宋" w:hAnsi="仿宋" w:eastAsia="仿宋" w:cs="仿宋"/>
          <w:color w:val="auto"/>
          <w:highlight w:val="none"/>
          <w:lang w:val="en-US" w:eastAsia="zh-CN"/>
        </w:rPr>
        <w:t>三、</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ascii="仿宋" w:hAnsi="仿宋" w:eastAsia="仿宋" w:cs="仿宋"/>
          <w:color w:val="auto"/>
          <w:highlight w:val="none"/>
          <w:lang w:val="en-US" w:eastAsia="zh-CN"/>
        </w:rPr>
        <w:t>报价要求及结算方式</w:t>
      </w:r>
      <w:bookmarkEnd w:id="162"/>
    </w:p>
    <w:bookmarkEnd w:id="159"/>
    <w:p w14:paraId="7C6AF04F">
      <w:pPr>
        <w:pageBreakBefore w:val="0"/>
        <w:kinsoku/>
        <w:topLinePunct w:val="0"/>
        <w:bidi w:val="0"/>
        <w:spacing w:line="360" w:lineRule="auto"/>
        <w:ind w:firstLine="480" w:firstLineChars="200"/>
        <w:outlineLvl w:val="1"/>
        <w:rPr>
          <w:rFonts w:hint="default" w:ascii="仿宋" w:hAnsi="仿宋" w:eastAsia="仿宋" w:cs="仿宋"/>
          <w:color w:val="auto"/>
          <w:kern w:val="2"/>
          <w:sz w:val="24"/>
          <w:szCs w:val="24"/>
          <w:highlight w:val="none"/>
          <w:lang w:val="en-US" w:eastAsia="zh-CN" w:bidi="ar-SA"/>
        </w:rPr>
      </w:pPr>
      <w:bookmarkStart w:id="163" w:name="_Toc25903"/>
      <w:bookmarkStart w:id="164" w:name="_Toc25911"/>
      <w:bookmarkStart w:id="165" w:name="_Toc25165"/>
      <w:bookmarkStart w:id="166" w:name="_Toc2487"/>
      <w:bookmarkStart w:id="167" w:name="_Toc30067"/>
      <w:bookmarkStart w:id="168" w:name="_Toc11875"/>
      <w:bookmarkStart w:id="169" w:name="_Toc75793517"/>
      <w:bookmarkStart w:id="170" w:name="_Toc8133"/>
      <w:bookmarkStart w:id="171" w:name="_Toc24966"/>
      <w:bookmarkStart w:id="172" w:name="_Toc2406"/>
      <w:bookmarkStart w:id="173" w:name="_Toc22763"/>
      <w:bookmarkStart w:id="174" w:name="_Toc15693"/>
      <w:bookmarkStart w:id="175" w:name="_Toc3339"/>
      <w:bookmarkStart w:id="176" w:name="_Toc32453"/>
      <w:bookmarkStart w:id="177" w:name="_Toc23377"/>
      <w:r>
        <w:rPr>
          <w:rFonts w:hint="eastAsia" w:ascii="仿宋" w:hAnsi="仿宋" w:eastAsia="仿宋" w:cs="仿宋"/>
          <w:color w:val="auto"/>
          <w:kern w:val="2"/>
          <w:sz w:val="24"/>
          <w:szCs w:val="24"/>
          <w:highlight w:val="none"/>
          <w:lang w:val="en-US" w:eastAsia="zh-CN" w:bidi="ar-SA"/>
        </w:rPr>
        <w:t>1、报价要求</w:t>
      </w:r>
    </w:p>
    <w:p w14:paraId="23B9192C">
      <w:pPr>
        <w:pageBreakBefore w:val="0"/>
        <w:kinsoku/>
        <w:topLinePunct w:val="0"/>
        <w:bidi w:val="0"/>
        <w:spacing w:line="360" w:lineRule="auto"/>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1.1供应商的响应报价应完成本项目全部工程的报价，并以供应商在工程量清单中提出的单价或总价为依据。</w:t>
      </w:r>
    </w:p>
    <w:p w14:paraId="1043584F">
      <w:pPr>
        <w:pageBreakBefore w:val="0"/>
        <w:kinsoku/>
        <w:topLinePunct w:val="0"/>
        <w:bidi w:val="0"/>
        <w:spacing w:line="360" w:lineRule="auto"/>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1.2供应商报价函中的总报价必须与工程量清单总报价一致。</w:t>
      </w:r>
    </w:p>
    <w:p w14:paraId="4633336A">
      <w:pPr>
        <w:pageBreakBefore w:val="0"/>
        <w:kinsoku/>
        <w:topLinePunct w:val="0"/>
        <w:bidi w:val="0"/>
        <w:spacing w:line="360" w:lineRule="auto"/>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注：（1）采购人在工程量清单中所列出的价格（包括安全文明施工费、暂列金额、暂估价等），供应商不得修改，否则由评标委员会作否决投标处理。</w:t>
      </w:r>
    </w:p>
    <w:p w14:paraId="665604E4">
      <w:pPr>
        <w:pageBreakBefore w:val="0"/>
        <w:kinsoku/>
        <w:topLinePunct w:val="0"/>
        <w:bidi w:val="0"/>
        <w:spacing w:line="360" w:lineRule="auto"/>
        <w:ind w:firstLine="480" w:firstLineChars="20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本次报价为综合单价报价，每项清单综合单价报价不得高于每项清单综合单价最高限价。报价包括但不限于完成本项目所实施内容的人工、材料、机械、管理费、规费、利润、税金、措施项目费、风险费等一切费用等。供应商根据本竞采文件、国家有关标准规范结合本项目特点，结合实际工作量、技术含量、难易程度、复杂性、经营决策、企业实力和市场行情等因素，计算费用并承担相应的风险自主报价。因成交供应商自身原因造</w:t>
      </w:r>
      <w:r>
        <w:rPr>
          <w:rFonts w:hint="eastAsia" w:ascii="仿宋" w:hAnsi="仿宋" w:eastAsia="仿宋" w:cs="仿宋"/>
          <w:color w:val="auto"/>
          <w:kern w:val="2"/>
          <w:sz w:val="24"/>
          <w:szCs w:val="24"/>
          <w:highlight w:val="none"/>
          <w:lang w:val="en-US" w:eastAsia="zh-CN" w:bidi="ar-SA"/>
        </w:rPr>
        <w:t>成漏报、少报皆由其自行承担责任，采购人不再补偿。</w:t>
      </w:r>
    </w:p>
    <w:p w14:paraId="61F582AC">
      <w:pPr>
        <w:pageBreakBefore w:val="0"/>
        <w:kinsoku/>
        <w:topLinePunct w:val="0"/>
        <w:bidi w:val="0"/>
        <w:spacing w:line="360" w:lineRule="auto"/>
        <w:ind w:firstLine="480" w:firstLineChars="20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2、结算原则</w:t>
      </w:r>
    </w:p>
    <w:p w14:paraId="3E49772A">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结算总价=中标价±工程变更±工程量计算偏差调整+据实调整±合同约定的其他因素。</w:t>
      </w:r>
    </w:p>
    <w:p w14:paraId="783746D9">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1、具体结算办法如下：</w:t>
      </w:r>
    </w:p>
    <w:p w14:paraId="2A0339A7">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1）工程量清单报价中有相同子项的，按该子项的中标综合单价执行；</w:t>
      </w:r>
    </w:p>
    <w:p w14:paraId="3F62F6E3">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2）工程量清单报价中有类似子项的，参照竞标报价中类似子项的中标综合单价执行（类似子项由采购人审定）；</w:t>
      </w:r>
    </w:p>
    <w:p w14:paraId="2BCA1CB6">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3）工程量清单报价中无相同子项或类似子项的，《建设工程工程量清单计价规范》（GB50500-2013）、《重庆市建设工程工程量清单计价规则》（CQJJCZ-2013）、《重庆市房屋建筑及装饰工程计价定额》（2018）、《重庆市通用安装工程计价定额》（2018）、《重庆市房屋修缮工程计价定额》（2018）、《重庆市建设工程费用定额》（2018）等及其他配套文件、重庆市城乡建设委员会关于建筑业营业税改增值税调整建设工程计价依据的通知》（渝建发[2016]35号）、渝建〔2018〕195号文等相关文件及其配套、修改、调整文件执行，人工及材料价格调整按合同施工期间《重庆工程造价信息》公布的大足地区指导价均价执行，未有的材料价格必须经采购人认质认价后办理结算；</w:t>
      </w:r>
    </w:p>
    <w:p w14:paraId="648003C8">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4）因成交供应商原因引起的工程量增加，不予计量、计价。</w:t>
      </w:r>
    </w:p>
    <w:p w14:paraId="1D971ED9">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2、暂列金额、专业工程暂估价和材料的暂定价格由采购人认质认价办理结算。</w:t>
      </w:r>
    </w:p>
    <w:p w14:paraId="03D16DAB">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3、本项目建筑安装材料价格风险按照《重庆市城乡建设委员会关于进一步加强建筑安装材料价格风险管控的指导意见》（渝建〔2018〕61号）执行。本项目主要材料及设备价格风险内容、范围及调整方法为：不调整。</w:t>
      </w:r>
    </w:p>
    <w:p w14:paraId="7B259150">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4、本项目结算最终以相关单位审定的金额为准。</w:t>
      </w:r>
    </w:p>
    <w:p w14:paraId="28D0A022">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（四） 变更估价的原则：</w:t>
      </w:r>
    </w:p>
    <w:p w14:paraId="47F63F77">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属于设计变更的项目，则由成交供应商按照《建设工程工程量清单计价规范》（GB50500-2013）、《重庆市建设工程工程量清单计价规则》（CQJJCZ-2013）、《重庆市房屋建筑及装饰工程计价定额》（2018）、《重庆市通用安装工程计价定额》（2018）、《重庆市房屋修缮工程计价定额》（2018）、《重庆市建设工程费用定额》（2018）等及其他配套文件、重庆市城乡建设委员会关于建筑业营业税改增值税调整建设工程计价依据的通知》（渝建发[2016]35号）、渝建〔2018〕195号文等相关文件及其配套、修改、调整文件执行，人工及材料价格调整按合同施工期间《重庆工程造价信息》公布的大足地区指导价均价执行，未有的材料价格必须经采购人认质认价后办理结算。</w:t>
      </w:r>
    </w:p>
    <w:p w14:paraId="6CE630A4">
      <w:pPr>
        <w:pageBreakBefore w:val="0"/>
        <w:kinsoku/>
        <w:topLinePunct w:val="0"/>
        <w:bidi w:val="0"/>
        <w:spacing w:line="360" w:lineRule="auto"/>
        <w:ind w:firstLine="480" w:firstLineChars="200"/>
        <w:outlineLvl w:val="1"/>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2、其中的人工、材料价格按施工期间的《重庆工程造价信息》当期大足地区指导价均价执行，未有的材料价格以监理单位、采购人、政府监督部门核质核价执行。</w:t>
      </w:r>
    </w:p>
    <w:p w14:paraId="7DFC8848">
      <w:pPr>
        <w:pStyle w:val="4"/>
        <w:pageBreakBefore w:val="0"/>
        <w:kinsoku/>
        <w:topLinePunct w:val="0"/>
        <w:bidi w:val="0"/>
        <w:spacing w:line="360" w:lineRule="auto"/>
        <w:rPr>
          <w:rFonts w:hint="eastAsia" w:ascii="仿宋" w:hAnsi="仿宋" w:eastAsia="仿宋" w:cs="仿宋"/>
          <w:highlight w:val="none"/>
          <w:lang w:val="en-US" w:eastAsia="zh-CN"/>
        </w:rPr>
      </w:pPr>
      <w:bookmarkStart w:id="178" w:name="_Toc27927"/>
      <w:r>
        <w:rPr>
          <w:rFonts w:hint="eastAsia" w:ascii="仿宋" w:hAnsi="仿宋" w:eastAsia="仿宋" w:cs="仿宋"/>
          <w:highlight w:val="none"/>
          <w:lang w:val="en-US" w:eastAsia="zh-CN"/>
        </w:rPr>
        <w:t>四、付款方式</w:t>
      </w:r>
      <w:bookmarkEnd w:id="178"/>
    </w:p>
    <w:p w14:paraId="28D4BF00">
      <w:pPr>
        <w:pageBreakBefore w:val="0"/>
        <w:widowControl/>
        <w:kinsoku/>
        <w:topLinePunct w:val="0"/>
        <w:bidi w:val="0"/>
        <w:spacing w:line="360" w:lineRule="auto"/>
        <w:ind w:left="0" w:firstLine="480" w:firstLineChars="200"/>
        <w:jc w:val="left"/>
        <w:outlineLvl w:val="1"/>
        <w:rPr>
          <w:rFonts w:hint="default" w:ascii="仿宋" w:hAnsi="仿宋" w:eastAsia="仿宋" w:cs="仿宋"/>
          <w:b w:val="0"/>
          <w:color w:val="auto"/>
          <w:kern w:val="2"/>
          <w:sz w:val="24"/>
          <w:szCs w:val="24"/>
          <w:highlight w:val="none"/>
          <w:lang w:val="en-US" w:eastAsia="zh-CN" w:bidi="ar-SA"/>
        </w:rPr>
      </w:pPr>
      <w:bookmarkStart w:id="179" w:name="_Toc26282"/>
      <w:bookmarkStart w:id="180" w:name="_Toc30742"/>
      <w:bookmarkStart w:id="181" w:name="_Toc51655846"/>
      <w:bookmarkStart w:id="182" w:name="_Toc376184488"/>
      <w:bookmarkStart w:id="183" w:name="_Toc5632"/>
      <w:r>
        <w:rPr>
          <w:rFonts w:hint="eastAsia" w:ascii="仿宋" w:hAnsi="仿宋" w:eastAsia="仿宋" w:cs="仿宋"/>
          <w:b w:val="0"/>
          <w:color w:val="auto"/>
          <w:kern w:val="2"/>
          <w:sz w:val="24"/>
          <w:szCs w:val="24"/>
          <w:highlight w:val="none"/>
          <w:lang w:val="en-US" w:eastAsia="zh-CN" w:bidi="ar-SA"/>
        </w:rPr>
        <w:t>待工程完工，竣工验收合格后，支付至合同金额的70%</w:t>
      </w:r>
      <w:bookmarkStart w:id="334" w:name="_GoBack"/>
      <w:bookmarkEnd w:id="334"/>
      <w:r>
        <w:rPr>
          <w:rFonts w:hint="eastAsia" w:ascii="仿宋" w:hAnsi="仿宋" w:eastAsia="仿宋" w:cs="仿宋"/>
          <w:b w:val="0"/>
          <w:color w:val="auto"/>
          <w:kern w:val="2"/>
          <w:sz w:val="24"/>
          <w:szCs w:val="24"/>
          <w:highlight w:val="none"/>
          <w:lang w:val="en-US" w:eastAsia="zh-CN" w:bidi="ar-SA"/>
        </w:rPr>
        <w:t>，竣工结算审核完成后支付至审定结算金额的97%（审计工作由采购人委托第三方审计单位进行，若出现审减情况，必须按照国家相应政策执行）。余下的3%作为工程质保金，质保期二年满后且无质量问题的，采购人一次性支付（不计息），施工单位需同时开具正式发票。</w:t>
      </w:r>
    </w:p>
    <w:p w14:paraId="086F1217">
      <w:pPr>
        <w:pStyle w:val="4"/>
        <w:pageBreakBefore w:val="0"/>
        <w:numPr>
          <w:ilvl w:val="0"/>
          <w:numId w:val="0"/>
        </w:numPr>
        <w:kinsoku/>
        <w:topLinePunct w:val="0"/>
        <w:bidi w:val="0"/>
        <w:spacing w:line="360" w:lineRule="auto"/>
        <w:rPr>
          <w:rFonts w:hint="eastAsia" w:ascii="仿宋" w:hAnsi="仿宋" w:eastAsia="仿宋" w:cs="仿宋"/>
          <w:color w:val="0D0D0D" w:themeColor="text1" w:themeTint="F2"/>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highlight w:val="none"/>
          <w:lang w:val="en-US" w:eastAsia="zh-CN"/>
          <w14:textFill>
            <w14:solidFill>
              <w14:schemeClr w14:val="tx1">
                <w14:lumMod w14:val="95000"/>
                <w14:lumOff w14:val="5000"/>
              </w14:schemeClr>
            </w14:solidFill>
          </w14:textFill>
        </w:rPr>
        <w:t>五、违约责任</w:t>
      </w:r>
      <w:bookmarkEnd w:id="179"/>
      <w:bookmarkEnd w:id="180"/>
    </w:p>
    <w:p w14:paraId="03A927E8">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一）因供应商原因造成工期延误，逾期竣工扣除履约保证金的计算方法为：每延期一天，按照合同金额的1‰扣除履约保证金，延期20天仍未完成项目的，采购人有权解除合同。如逾期完成项目且对采购人工作造成影响的，中标人承担一切责任，并赔偿所造成的损失。不可抗力或其他特殊原因除外。</w:t>
      </w:r>
    </w:p>
    <w:p w14:paraId="20264086">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二）供应商不得将本工程项目转、分包给第三方，如供应商将本工程项目转、分包给第三方的，采购人有权解除合同，同时采购人有权要求供应商按合同总金额的10%支付违约金，因此给采购人造成的损失应由供应商承担赔偿责任。</w:t>
      </w:r>
    </w:p>
    <w:p w14:paraId="3461C56F">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三）供应商应遵守工程建设安全生产有关管理规定，严格按安全标准组织施工，并随时接受行业安全检查人员及采购人实施的监督检查。由于供应商安全措施不力造成事故的责任和因此发生的费用，由供应商承担，采购人不承担任何责任。采购人代表到现场检查时，供应商现场管理人员必须积极配合，对不重视安全以及出现安全隐患，则采购人对供应商扣除500元/次履约保证金；严重的安全问题视情加重处罚。</w:t>
      </w:r>
    </w:p>
    <w:p w14:paraId="12EF5F78">
      <w:pPr>
        <w:pageBreakBefore w:val="0"/>
        <w:kinsoku/>
        <w:topLinePunct w:val="0"/>
        <w:bidi w:val="0"/>
        <w:spacing w:line="360" w:lineRule="auto"/>
        <w:ind w:firstLine="480" w:firstLineChars="200"/>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四）供应商违反合同约定，还应当另行赔偿采购人的其他损失（包括但不限于采购人因签订和履行本合同所承担的费用，采购人因此向第三人承担责任的损失，采购人向供应商主张权利而承担的诉讼/仲裁费、律师费、保全费、保全担保费、鉴定费、差旅费、交通费等）。</w:t>
      </w:r>
    </w:p>
    <w:p w14:paraId="030071D2">
      <w:pPr>
        <w:pStyle w:val="4"/>
        <w:pageBreakBefore w:val="0"/>
        <w:numPr>
          <w:ilvl w:val="0"/>
          <w:numId w:val="0"/>
        </w:numPr>
        <w:kinsoku/>
        <w:topLinePunct w:val="0"/>
        <w:bidi w:val="0"/>
        <w:spacing w:line="360" w:lineRule="auto"/>
        <w:rPr>
          <w:rFonts w:hint="eastAsia" w:ascii="仿宋" w:hAnsi="仿宋" w:eastAsia="仿宋" w:cs="仿宋"/>
          <w:highlight w:val="none"/>
          <w:lang w:val="en-US" w:eastAsia="zh-CN"/>
        </w:rPr>
      </w:pPr>
      <w:bookmarkStart w:id="184" w:name="_Toc13331"/>
      <w:r>
        <w:rPr>
          <w:rFonts w:hint="eastAsia" w:ascii="仿宋" w:hAnsi="仿宋" w:eastAsia="仿宋" w:cs="仿宋"/>
          <w:highlight w:val="none"/>
          <w:lang w:val="en-US" w:eastAsia="zh-CN"/>
        </w:rPr>
        <w:t>六、其他</w:t>
      </w:r>
      <w:bookmarkEnd w:id="181"/>
      <w:bookmarkEnd w:id="182"/>
      <w:bookmarkEnd w:id="184"/>
    </w:p>
    <w:bookmarkEnd w:id="183"/>
    <w:p w14:paraId="21C04AF1">
      <w:pPr>
        <w:pageBreakBefore w:val="0"/>
        <w:kinsoku/>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（一）供应商必须在响应文件中对以上条款和服务承诺明确列出，承诺内容必须达到本篇及采购文件其他条款的要求。</w:t>
      </w:r>
    </w:p>
    <w:p w14:paraId="60D2A0FB">
      <w:pPr>
        <w:pageBreakBefore w:val="0"/>
        <w:kinsoku/>
        <w:topLinePunct w:val="0"/>
        <w:bidi w:val="0"/>
        <w:spacing w:line="360" w:lineRule="auto"/>
        <w:ind w:firstLine="480" w:firstLineChars="200"/>
        <w:outlineLvl w:val="1"/>
        <w:rPr>
          <w:rFonts w:hint="eastAsia" w:ascii="仿宋" w:hAnsi="仿宋" w:eastAsia="仿宋" w:cs="仿宋"/>
          <w:sz w:val="32"/>
          <w:szCs w:val="32"/>
          <w:highlight w:val="none"/>
          <w:lang w:val="en-US" w:eastAsia="zh-CN"/>
        </w:rPr>
      </w:pPr>
      <w:r>
        <w:rPr>
          <w:rFonts w:hint="eastAsia" w:ascii="仿宋" w:hAnsi="仿宋" w:eastAsia="仿宋" w:cs="仿宋"/>
          <w:kern w:val="2"/>
          <w:sz w:val="24"/>
          <w:szCs w:val="24"/>
          <w:highlight w:val="none"/>
          <w:lang w:val="en-US" w:eastAsia="zh-CN" w:bidi="ar-SA"/>
        </w:rPr>
        <w:t>（二）其他未尽事宜由供需双方在采购合同中详细约定。</w:t>
      </w:r>
    </w:p>
    <w:p w14:paraId="6B8913A7">
      <w:pPr>
        <w:pageBreakBefore w:val="0"/>
        <w:kinsoku/>
        <w:topLinePunct w:val="0"/>
        <w:bidi w:val="0"/>
        <w:spacing w:line="360" w:lineRule="auto"/>
        <w:ind w:firstLine="2209" w:firstLineChars="500"/>
        <w:rPr>
          <w:rFonts w:hint="eastAsia" w:ascii="仿宋" w:hAnsi="仿宋" w:eastAsia="仿宋" w:cs="仿宋"/>
          <w:b/>
          <w:color w:val="auto"/>
          <w:kern w:val="2"/>
          <w:sz w:val="44"/>
          <w:highlight w:val="none"/>
          <w:lang w:val="en-US" w:eastAsia="zh-CN" w:bidi="ar-SA"/>
        </w:rPr>
      </w:pPr>
    </w:p>
    <w:p w14:paraId="124E8373">
      <w:pPr>
        <w:pStyle w:val="3"/>
        <w:pageBreakBefore w:val="0"/>
        <w:kinsoku/>
        <w:topLinePunct w:val="0"/>
        <w:bidi w:val="0"/>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bookmarkStart w:id="185" w:name="_Toc26085"/>
      <w:r>
        <w:rPr>
          <w:rFonts w:hint="eastAsia" w:ascii="仿宋" w:hAnsi="仿宋" w:eastAsia="仿宋" w:cs="仿宋"/>
          <w:b/>
          <w:bCs/>
          <w:color w:val="auto"/>
          <w:highlight w:val="none"/>
          <w:lang w:val="en-US" w:eastAsia="zh-CN"/>
        </w:rPr>
        <w:t>第四篇 资格审查及评标办法</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85"/>
    </w:p>
    <w:p w14:paraId="3513C887">
      <w:pPr>
        <w:pStyle w:val="4"/>
        <w:pageBreakBefore w:val="0"/>
        <w:kinsoku/>
        <w:topLinePunct w:val="0"/>
        <w:bidi w:val="0"/>
        <w:spacing w:line="360" w:lineRule="auto"/>
        <w:rPr>
          <w:rFonts w:hint="eastAsia" w:ascii="仿宋" w:hAnsi="仿宋" w:eastAsia="仿宋" w:cs="仿宋"/>
          <w:color w:val="auto"/>
          <w:highlight w:val="none"/>
        </w:rPr>
      </w:pPr>
      <w:bookmarkStart w:id="186" w:name="_Toc21859"/>
      <w:bookmarkStart w:id="187" w:name="_Toc1497"/>
      <w:bookmarkStart w:id="188" w:name="_Toc12641"/>
      <w:bookmarkStart w:id="189" w:name="_Toc20541"/>
      <w:bookmarkStart w:id="190" w:name="_Toc29755"/>
      <w:bookmarkStart w:id="191" w:name="_Toc28360"/>
      <w:bookmarkStart w:id="192" w:name="_Toc26309"/>
      <w:bookmarkStart w:id="193" w:name="_Toc27081"/>
      <w:bookmarkStart w:id="194" w:name="_Toc8983"/>
      <w:bookmarkStart w:id="195" w:name="_Toc75793518"/>
      <w:bookmarkStart w:id="196" w:name="_Toc4071"/>
      <w:bookmarkStart w:id="197" w:name="_Toc28903"/>
      <w:bookmarkStart w:id="198" w:name="_Toc25971"/>
      <w:bookmarkStart w:id="199" w:name="_Toc23973"/>
      <w:bookmarkStart w:id="200" w:name="_Toc14564"/>
      <w:bookmarkStart w:id="201" w:name="_Toc26880"/>
      <w:r>
        <w:rPr>
          <w:rFonts w:hint="eastAsia" w:ascii="仿宋" w:hAnsi="仿宋" w:eastAsia="仿宋" w:cs="仿宋"/>
          <w:color w:val="auto"/>
          <w:highlight w:val="none"/>
        </w:rPr>
        <w:t>一、资格审查</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仿宋" w:hAnsi="仿宋" w:eastAsia="仿宋" w:cs="仿宋"/>
          <w:color w:val="auto"/>
          <w:highlight w:val="none"/>
        </w:rPr>
        <w:t>及符合性审查</w:t>
      </w:r>
      <w:bookmarkEnd w:id="201"/>
    </w:p>
    <w:p w14:paraId="5305EE69">
      <w:pPr>
        <w:pageBreakBefore w:val="0"/>
        <w:kinsoku/>
        <w:topLinePunct w:val="0"/>
        <w:bidi w:val="0"/>
        <w:snapToGri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若未通过资格审查及符合性审查的</w:t>
      </w:r>
      <w:r>
        <w:rPr>
          <w:rFonts w:hint="eastAsia" w:ascii="仿宋" w:hAnsi="仿宋" w:eastAsia="仿宋" w:cs="仿宋"/>
          <w:b/>
          <w:color w:val="auto"/>
          <w:sz w:val="28"/>
          <w:szCs w:val="28"/>
          <w:highlight w:val="none"/>
          <w:lang w:eastAsia="zh-CN"/>
        </w:rPr>
        <w:t>响应文件</w:t>
      </w:r>
      <w:r>
        <w:rPr>
          <w:rFonts w:hint="eastAsia" w:ascii="仿宋" w:hAnsi="仿宋" w:eastAsia="仿宋" w:cs="仿宋"/>
          <w:b/>
          <w:color w:val="auto"/>
          <w:sz w:val="28"/>
          <w:szCs w:val="28"/>
          <w:highlight w:val="none"/>
        </w:rPr>
        <w:t>，不进入评审环节。</w:t>
      </w:r>
    </w:p>
    <w:p w14:paraId="11ADAAA2">
      <w:pPr>
        <w:pageBreakBefore w:val="0"/>
        <w:kinsoku/>
        <w:topLinePunct w:val="0"/>
        <w:bidi w:val="0"/>
        <w:snapToGrid w:val="0"/>
        <w:spacing w:line="360" w:lineRule="auto"/>
        <w:ind w:firstLine="562" w:firstLineChars="200"/>
        <w:outlineLvl w:val="1"/>
        <w:rPr>
          <w:rFonts w:hint="eastAsia" w:ascii="仿宋" w:hAnsi="仿宋" w:eastAsia="仿宋" w:cs="仿宋"/>
          <w:color w:val="auto"/>
          <w:kern w:val="0"/>
          <w:sz w:val="28"/>
          <w:szCs w:val="28"/>
          <w:highlight w:val="none"/>
        </w:rPr>
      </w:pPr>
      <w:r>
        <w:rPr>
          <w:rFonts w:hint="eastAsia" w:ascii="仿宋" w:hAnsi="仿宋" w:eastAsia="仿宋" w:cs="仿宋"/>
          <w:b/>
          <w:color w:val="auto"/>
          <w:sz w:val="28"/>
          <w:szCs w:val="28"/>
          <w:highlight w:val="none"/>
        </w:rPr>
        <w:t>（一）资格审查</w:t>
      </w:r>
    </w:p>
    <w:p w14:paraId="673092CF">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依据政府采购相关法律法规规定，由评审小组对响应文件中的资格证明文件进行审查。资格审查资料表如下：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841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8E273C4">
            <w:pPr>
              <w:pageBreakBefore w:val="0"/>
              <w:kinsoku/>
              <w:topLinePunct w:val="0"/>
              <w:bidi w:val="0"/>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827" w:type="dxa"/>
            <w:gridSpan w:val="2"/>
            <w:noWrap w:val="0"/>
            <w:vAlign w:val="center"/>
          </w:tcPr>
          <w:p w14:paraId="2A4F3F69">
            <w:pPr>
              <w:pageBreakBefore w:val="0"/>
              <w:kinsoku/>
              <w:topLinePunct w:val="0"/>
              <w:bidi w:val="0"/>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4984" w:type="dxa"/>
            <w:noWrap w:val="0"/>
            <w:vAlign w:val="center"/>
          </w:tcPr>
          <w:p w14:paraId="7E0A0F0A">
            <w:pPr>
              <w:pageBreakBefore w:val="0"/>
              <w:kinsoku/>
              <w:topLinePunct w:val="0"/>
              <w:bidi w:val="0"/>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6357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817" w:type="dxa"/>
            <w:vMerge w:val="restart"/>
            <w:noWrap w:val="0"/>
            <w:vAlign w:val="center"/>
          </w:tcPr>
          <w:p w14:paraId="715A39B7">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1</w:t>
            </w:r>
          </w:p>
        </w:tc>
        <w:tc>
          <w:tcPr>
            <w:tcW w:w="709" w:type="dxa"/>
            <w:vMerge w:val="restart"/>
            <w:noWrap w:val="0"/>
            <w:vAlign w:val="center"/>
          </w:tcPr>
          <w:p w14:paraId="7B40D0AC">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zh-CN" w:eastAsia="zh-CN"/>
              </w:rPr>
            </w:pPr>
            <w:r>
              <w:rPr>
                <w:rFonts w:hint="eastAsia" w:ascii="仿宋" w:hAnsi="仿宋" w:eastAsia="仿宋" w:cs="仿宋"/>
                <w:color w:val="auto"/>
                <w:sz w:val="21"/>
                <w:szCs w:val="21"/>
                <w:highlight w:val="none"/>
                <w:shd w:val="clear" w:color="auto" w:fill="auto"/>
                <w:lang w:val="zh-CN" w:eastAsia="zh-CN"/>
              </w:rPr>
              <w:t>供应商应符合的基本资格条件</w:t>
            </w:r>
          </w:p>
        </w:tc>
        <w:tc>
          <w:tcPr>
            <w:tcW w:w="3118" w:type="dxa"/>
            <w:noWrap w:val="0"/>
            <w:vAlign w:val="center"/>
          </w:tcPr>
          <w:p w14:paraId="421F9201">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1.具有独立承担民事责任的能力</w:t>
            </w:r>
          </w:p>
        </w:tc>
        <w:tc>
          <w:tcPr>
            <w:tcW w:w="4984" w:type="dxa"/>
            <w:noWrap w:val="0"/>
            <w:vAlign w:val="center"/>
          </w:tcPr>
          <w:p w14:paraId="67B194BB">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 xml:space="preserve">1.供应商法人营业执照（副本）或事业单位法人证书（副本）或个体工商户营业执照或有效的自然人身份证明或社会团体法人登记证书（提供复印件）。 </w:t>
            </w:r>
          </w:p>
          <w:p w14:paraId="1288F871">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2.供应商法定代表人身份证明和法定代表人授权代表委托书。</w:t>
            </w:r>
          </w:p>
        </w:tc>
      </w:tr>
      <w:tr w14:paraId="1551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3AA3D68">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c>
          <w:tcPr>
            <w:tcW w:w="709" w:type="dxa"/>
            <w:vMerge w:val="continue"/>
            <w:noWrap w:val="0"/>
            <w:vAlign w:val="center"/>
          </w:tcPr>
          <w:p w14:paraId="072DB6FA">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zh-CN" w:eastAsia="zh-CN"/>
              </w:rPr>
            </w:pPr>
          </w:p>
        </w:tc>
        <w:tc>
          <w:tcPr>
            <w:tcW w:w="3118" w:type="dxa"/>
            <w:noWrap w:val="0"/>
            <w:vAlign w:val="center"/>
          </w:tcPr>
          <w:p w14:paraId="31DDF909">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zh-CN" w:eastAsia="zh-CN"/>
              </w:rPr>
              <w:t>2.</w:t>
            </w:r>
            <w:r>
              <w:rPr>
                <w:rFonts w:hint="eastAsia" w:ascii="仿宋" w:hAnsi="仿宋" w:eastAsia="仿宋" w:cs="仿宋"/>
                <w:color w:val="auto"/>
                <w:sz w:val="21"/>
                <w:szCs w:val="21"/>
                <w:highlight w:val="none"/>
                <w:shd w:val="clear" w:color="auto" w:fill="auto"/>
                <w:lang w:val="en-US" w:eastAsia="zh-CN"/>
              </w:rPr>
              <w:t>具有良好的商业信誉和健全的财务会计制度</w:t>
            </w:r>
          </w:p>
        </w:tc>
        <w:tc>
          <w:tcPr>
            <w:tcW w:w="4984" w:type="dxa"/>
            <w:vMerge w:val="restart"/>
            <w:noWrap w:val="0"/>
            <w:vAlign w:val="center"/>
          </w:tcPr>
          <w:p w14:paraId="44040AA2">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供应商提供“基本资格条件承诺函”（格式详见第七篇）</w:t>
            </w:r>
          </w:p>
          <w:p w14:paraId="130212D2">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r>
      <w:tr w14:paraId="61BF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1ED9860">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c>
          <w:tcPr>
            <w:tcW w:w="709" w:type="dxa"/>
            <w:vMerge w:val="continue"/>
            <w:noWrap w:val="0"/>
            <w:vAlign w:val="center"/>
          </w:tcPr>
          <w:p w14:paraId="4104BB8F">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zh-CN" w:eastAsia="zh-CN"/>
              </w:rPr>
            </w:pPr>
          </w:p>
        </w:tc>
        <w:tc>
          <w:tcPr>
            <w:tcW w:w="3118" w:type="dxa"/>
            <w:noWrap w:val="0"/>
            <w:vAlign w:val="center"/>
          </w:tcPr>
          <w:p w14:paraId="1F704CB4">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zh-CN" w:eastAsia="zh-CN"/>
              </w:rPr>
            </w:pPr>
            <w:r>
              <w:rPr>
                <w:rFonts w:hint="eastAsia" w:ascii="仿宋" w:hAnsi="仿宋" w:eastAsia="仿宋" w:cs="仿宋"/>
                <w:color w:val="auto"/>
                <w:sz w:val="21"/>
                <w:szCs w:val="21"/>
                <w:highlight w:val="none"/>
                <w:shd w:val="clear" w:color="auto" w:fill="auto"/>
                <w:lang w:val="zh-CN" w:eastAsia="zh-CN"/>
              </w:rPr>
              <w:t>3.具有履行合同所必需的设备和专业技术能力</w:t>
            </w:r>
          </w:p>
        </w:tc>
        <w:tc>
          <w:tcPr>
            <w:tcW w:w="4984" w:type="dxa"/>
            <w:vMerge w:val="continue"/>
            <w:noWrap w:val="0"/>
            <w:vAlign w:val="center"/>
          </w:tcPr>
          <w:p w14:paraId="5E930246">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r>
      <w:tr w14:paraId="6C6F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1402209">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c>
          <w:tcPr>
            <w:tcW w:w="709" w:type="dxa"/>
            <w:vMerge w:val="continue"/>
            <w:noWrap w:val="0"/>
            <w:vAlign w:val="center"/>
          </w:tcPr>
          <w:p w14:paraId="343B1A5B">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zh-CN" w:eastAsia="zh-CN"/>
              </w:rPr>
            </w:pPr>
          </w:p>
        </w:tc>
        <w:tc>
          <w:tcPr>
            <w:tcW w:w="3118" w:type="dxa"/>
            <w:noWrap w:val="0"/>
            <w:vAlign w:val="center"/>
          </w:tcPr>
          <w:p w14:paraId="74247CF0">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zh-CN" w:eastAsia="zh-CN"/>
              </w:rPr>
            </w:pPr>
            <w:r>
              <w:rPr>
                <w:rFonts w:hint="eastAsia" w:ascii="仿宋" w:hAnsi="仿宋" w:eastAsia="仿宋" w:cs="仿宋"/>
                <w:color w:val="auto"/>
                <w:sz w:val="21"/>
                <w:szCs w:val="21"/>
                <w:highlight w:val="none"/>
                <w:shd w:val="clear" w:color="auto" w:fill="auto"/>
                <w:lang w:val="zh-CN" w:eastAsia="zh-CN"/>
              </w:rPr>
              <w:t>4.有依法缴纳税收和社会保障金的良好记录</w:t>
            </w:r>
          </w:p>
        </w:tc>
        <w:tc>
          <w:tcPr>
            <w:tcW w:w="4984" w:type="dxa"/>
            <w:vMerge w:val="continue"/>
            <w:noWrap w:val="0"/>
            <w:vAlign w:val="center"/>
          </w:tcPr>
          <w:p w14:paraId="3B5A5604">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r>
      <w:tr w14:paraId="576C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7" w:type="dxa"/>
            <w:vMerge w:val="continue"/>
            <w:noWrap w:val="0"/>
            <w:vAlign w:val="center"/>
          </w:tcPr>
          <w:p w14:paraId="642890BF">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c>
          <w:tcPr>
            <w:tcW w:w="709" w:type="dxa"/>
            <w:vMerge w:val="continue"/>
            <w:noWrap w:val="0"/>
            <w:vAlign w:val="center"/>
          </w:tcPr>
          <w:p w14:paraId="080643E6">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zh-CN" w:eastAsia="zh-CN"/>
              </w:rPr>
            </w:pPr>
          </w:p>
        </w:tc>
        <w:tc>
          <w:tcPr>
            <w:tcW w:w="3118" w:type="dxa"/>
            <w:noWrap w:val="0"/>
            <w:vAlign w:val="center"/>
          </w:tcPr>
          <w:p w14:paraId="1E8D1DC2">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zh-CN" w:eastAsia="zh-CN"/>
              </w:rPr>
            </w:pPr>
            <w:r>
              <w:rPr>
                <w:rFonts w:hint="eastAsia" w:ascii="仿宋" w:hAnsi="仿宋" w:eastAsia="仿宋" w:cs="仿宋"/>
                <w:color w:val="auto"/>
                <w:sz w:val="21"/>
                <w:szCs w:val="21"/>
                <w:highlight w:val="none"/>
                <w:shd w:val="clear" w:color="auto" w:fill="auto"/>
                <w:lang w:val="en-US" w:eastAsia="zh-CN"/>
              </w:rPr>
              <w:t>5.参加政府采购活动前三年内，在经营活动中没有重大违法记录</w:t>
            </w:r>
          </w:p>
        </w:tc>
        <w:tc>
          <w:tcPr>
            <w:tcW w:w="4984" w:type="dxa"/>
            <w:vMerge w:val="continue"/>
            <w:noWrap w:val="0"/>
            <w:vAlign w:val="center"/>
          </w:tcPr>
          <w:p w14:paraId="63F07B73">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r>
      <w:tr w14:paraId="669A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17" w:type="dxa"/>
            <w:vMerge w:val="continue"/>
            <w:noWrap w:val="0"/>
            <w:vAlign w:val="center"/>
          </w:tcPr>
          <w:p w14:paraId="1D5B5A3C">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c>
          <w:tcPr>
            <w:tcW w:w="709" w:type="dxa"/>
            <w:vMerge w:val="continue"/>
            <w:noWrap w:val="0"/>
            <w:vAlign w:val="center"/>
          </w:tcPr>
          <w:p w14:paraId="631C6EB8">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c>
          <w:tcPr>
            <w:tcW w:w="3118" w:type="dxa"/>
            <w:noWrap w:val="0"/>
            <w:vAlign w:val="center"/>
          </w:tcPr>
          <w:p w14:paraId="780CDEAB">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6.法律、行政法规规定的其他条件</w:t>
            </w:r>
          </w:p>
        </w:tc>
        <w:tc>
          <w:tcPr>
            <w:tcW w:w="4984" w:type="dxa"/>
            <w:noWrap w:val="0"/>
            <w:vAlign w:val="center"/>
          </w:tcPr>
          <w:p w14:paraId="596870B5">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p>
        </w:tc>
      </w:tr>
      <w:tr w14:paraId="2B0B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noWrap w:val="0"/>
            <w:vAlign w:val="center"/>
          </w:tcPr>
          <w:p w14:paraId="70552976">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2</w:t>
            </w:r>
          </w:p>
        </w:tc>
        <w:tc>
          <w:tcPr>
            <w:tcW w:w="3827" w:type="dxa"/>
            <w:gridSpan w:val="2"/>
            <w:noWrap w:val="0"/>
            <w:vAlign w:val="center"/>
          </w:tcPr>
          <w:p w14:paraId="63AA7FE8">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本项目的特定资格要求</w:t>
            </w:r>
          </w:p>
        </w:tc>
        <w:tc>
          <w:tcPr>
            <w:tcW w:w="4984" w:type="dxa"/>
            <w:noWrap w:val="0"/>
            <w:vAlign w:val="center"/>
          </w:tcPr>
          <w:p w14:paraId="45C9FB9D">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按第一篇“三、供应商资格要求（二）特定资格条件”的要求提交（如果有）。</w:t>
            </w:r>
          </w:p>
        </w:tc>
      </w:tr>
      <w:tr w14:paraId="7CCD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noWrap w:val="0"/>
            <w:vAlign w:val="center"/>
          </w:tcPr>
          <w:p w14:paraId="2CE449CE">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lang w:val="en-US" w:eastAsia="zh-CN"/>
              </w:rPr>
              <w:t>3</w:t>
            </w:r>
          </w:p>
        </w:tc>
        <w:tc>
          <w:tcPr>
            <w:tcW w:w="3827" w:type="dxa"/>
            <w:gridSpan w:val="2"/>
            <w:noWrap w:val="0"/>
            <w:vAlign w:val="center"/>
          </w:tcPr>
          <w:p w14:paraId="2B5A8C07">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rPr>
              <w:t>投标保证金</w:t>
            </w:r>
          </w:p>
        </w:tc>
        <w:tc>
          <w:tcPr>
            <w:tcW w:w="4984" w:type="dxa"/>
            <w:noWrap w:val="0"/>
            <w:vAlign w:val="center"/>
          </w:tcPr>
          <w:p w14:paraId="1B3225A5">
            <w:pPr>
              <w:pageBreakBefore w:val="0"/>
              <w:widowControl w:val="0"/>
              <w:kinsoku/>
              <w:topLinePunct w:val="0"/>
              <w:bidi w:val="0"/>
              <w:spacing w:line="360" w:lineRule="auto"/>
              <w:ind w:firstLine="0" w:firstLineChars="0"/>
              <w:jc w:val="both"/>
              <w:rPr>
                <w:rFonts w:hint="eastAsia" w:ascii="仿宋" w:hAnsi="仿宋" w:eastAsia="仿宋" w:cs="仿宋"/>
                <w:color w:val="auto"/>
                <w:sz w:val="21"/>
                <w:szCs w:val="21"/>
                <w:highlight w:val="none"/>
                <w:shd w:val="clear" w:color="auto" w:fill="auto"/>
                <w:lang w:val="en-US" w:eastAsia="zh-CN"/>
              </w:rPr>
            </w:pPr>
            <w:r>
              <w:rPr>
                <w:rFonts w:hint="eastAsia" w:ascii="仿宋" w:hAnsi="仿宋" w:eastAsia="仿宋" w:cs="仿宋"/>
                <w:color w:val="auto"/>
                <w:sz w:val="21"/>
                <w:szCs w:val="21"/>
                <w:highlight w:val="none"/>
                <w:shd w:val="clear" w:color="auto" w:fill="auto"/>
              </w:rPr>
              <w:t>按照采购文件的规定提交投标保证金</w:t>
            </w:r>
            <w:r>
              <w:rPr>
                <w:rFonts w:hint="eastAsia" w:ascii="仿宋" w:hAnsi="仿宋" w:eastAsia="仿宋" w:cs="仿宋"/>
                <w:color w:val="auto"/>
                <w:sz w:val="21"/>
                <w:szCs w:val="21"/>
                <w:highlight w:val="none"/>
                <w:shd w:val="clear" w:color="auto" w:fill="auto"/>
                <w:lang w:eastAsia="zh-CN"/>
              </w:rPr>
              <w:t>。</w:t>
            </w:r>
          </w:p>
        </w:tc>
      </w:tr>
    </w:tbl>
    <w:p w14:paraId="340AC8C8">
      <w:pPr>
        <w:pageBreakBefore w:val="0"/>
        <w:widowControl w:val="0"/>
        <w:kinsoku/>
        <w:topLinePunct w:val="0"/>
        <w:bidi w:val="0"/>
        <w:spacing w:line="360" w:lineRule="auto"/>
        <w:ind w:firstLine="0" w:firstLineChars="0"/>
        <w:jc w:val="both"/>
        <w:rPr>
          <w:rFonts w:hint="eastAsia" w:ascii="仿宋" w:hAnsi="仿宋" w:eastAsia="仿宋" w:cs="仿宋"/>
          <w:color w:val="auto"/>
          <w:kern w:val="2"/>
          <w:sz w:val="24"/>
          <w:szCs w:val="24"/>
          <w:highlight w:val="none"/>
          <w:lang w:val="en-US" w:eastAsia="zh-CN" w:bidi="ar-SA"/>
        </w:rPr>
      </w:pPr>
    </w:p>
    <w:p w14:paraId="5FE7AC5D">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eq \o\ac(</w:instrText>
      </w:r>
      <w:r>
        <w:rPr>
          <w:rFonts w:hint="eastAsia" w:ascii="仿宋" w:hAnsi="仿宋" w:eastAsia="仿宋" w:cs="仿宋"/>
          <w:color w:val="auto"/>
          <w:kern w:val="2"/>
          <w:position w:val="-4"/>
          <w:sz w:val="36"/>
          <w:szCs w:val="24"/>
          <w:highlight w:val="none"/>
          <w:lang w:val="en-US" w:eastAsia="zh-CN" w:bidi="ar-SA"/>
        </w:rPr>
        <w:instrText xml:space="preserve">○</w:instrText>
      </w:r>
      <w:r>
        <w:rPr>
          <w:rFonts w:hint="eastAsia" w:ascii="仿宋" w:hAnsi="仿宋" w:eastAsia="仿宋" w:cs="仿宋"/>
          <w:color w:val="auto"/>
          <w:kern w:val="2"/>
          <w:position w:val="0"/>
          <w:sz w:val="24"/>
          <w:szCs w:val="24"/>
          <w:highlight w:val="none"/>
          <w:lang w:val="en-US" w:eastAsia="zh-CN" w:bidi="ar-SA"/>
        </w:rPr>
        <w:instrText xml:space="preserve">,1)</w:instrTex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供应商按“多证合一”登记制度办理营业执照的，组织机构代码证、税务登记证（副本）和社会保险登记证以供应商所提供的营业执照（副本）复印件为准。</w:t>
      </w:r>
    </w:p>
    <w:p w14:paraId="08A997B5">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eq \o\ac(</w:instrText>
      </w:r>
      <w:r>
        <w:rPr>
          <w:rFonts w:hint="eastAsia" w:ascii="仿宋" w:hAnsi="仿宋" w:eastAsia="仿宋" w:cs="仿宋"/>
          <w:color w:val="auto"/>
          <w:kern w:val="2"/>
          <w:position w:val="-4"/>
          <w:sz w:val="36"/>
          <w:szCs w:val="24"/>
          <w:highlight w:val="none"/>
          <w:lang w:val="en-US" w:eastAsia="zh-CN" w:bidi="ar-SA"/>
        </w:rPr>
        <w:instrText xml:space="preserve">○</w:instrText>
      </w:r>
      <w:r>
        <w:rPr>
          <w:rFonts w:hint="eastAsia" w:ascii="仿宋" w:hAnsi="仿宋" w:eastAsia="仿宋" w:cs="仿宋"/>
          <w:color w:val="auto"/>
          <w:kern w:val="2"/>
          <w:position w:val="0"/>
          <w:sz w:val="24"/>
          <w:szCs w:val="24"/>
          <w:highlight w:val="none"/>
          <w:lang w:val="en-US" w:eastAsia="zh-CN" w:bidi="ar-SA"/>
        </w:rPr>
        <w:instrText xml:space="preserve">,2)</w:instrTex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0A657B30">
      <w:pPr>
        <w:pageBreakBefore w:val="0"/>
        <w:kinsoku/>
        <w:topLinePunct w:val="0"/>
        <w:bidi w:val="0"/>
        <w:spacing w:line="360" w:lineRule="auto"/>
        <w:ind w:firstLine="480" w:firstLineChars="20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（二）符合性审查</w:t>
      </w:r>
    </w:p>
    <w:p w14:paraId="7624D4FB">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评审小组应当对符合资格的供应商的响应文件进行符合性审查，以确定其是否满足采购文件的实质性要求。符合性审查资料表如下：</w:t>
      </w:r>
    </w:p>
    <w:tbl>
      <w:tblPr>
        <w:tblStyle w:val="5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2829"/>
        <w:gridCol w:w="6190"/>
      </w:tblGrid>
      <w:tr w14:paraId="362D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7" w:type="dxa"/>
            <w:noWrap w:val="0"/>
            <w:vAlign w:val="center"/>
          </w:tcPr>
          <w:p w14:paraId="37EF993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2829" w:type="dxa"/>
            <w:noWrap w:val="0"/>
            <w:vAlign w:val="center"/>
          </w:tcPr>
          <w:p w14:paraId="51F717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审查因素</w:t>
            </w:r>
          </w:p>
        </w:tc>
        <w:tc>
          <w:tcPr>
            <w:tcW w:w="6190" w:type="dxa"/>
            <w:noWrap w:val="0"/>
            <w:vAlign w:val="center"/>
          </w:tcPr>
          <w:p w14:paraId="50EC55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审查标准</w:t>
            </w:r>
          </w:p>
        </w:tc>
      </w:tr>
      <w:tr w14:paraId="7877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07" w:type="dxa"/>
            <w:vMerge w:val="restart"/>
            <w:noWrap w:val="0"/>
            <w:vAlign w:val="center"/>
          </w:tcPr>
          <w:p w14:paraId="160192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829" w:type="dxa"/>
            <w:noWrap w:val="0"/>
            <w:vAlign w:val="center"/>
          </w:tcPr>
          <w:p w14:paraId="0FB4D9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响应文件签署或盖章</w:t>
            </w:r>
          </w:p>
        </w:tc>
        <w:tc>
          <w:tcPr>
            <w:tcW w:w="6190" w:type="dxa"/>
            <w:noWrap w:val="0"/>
            <w:vAlign w:val="center"/>
          </w:tcPr>
          <w:p w14:paraId="5A4FDC92">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按“第七篇响应文件格式要求”要求签署或盖章</w:t>
            </w:r>
          </w:p>
        </w:tc>
      </w:tr>
      <w:tr w14:paraId="41B7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7" w:type="dxa"/>
            <w:vMerge w:val="continue"/>
            <w:noWrap w:val="0"/>
            <w:vAlign w:val="center"/>
          </w:tcPr>
          <w:p w14:paraId="770570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2829" w:type="dxa"/>
            <w:noWrap w:val="0"/>
            <w:vAlign w:val="center"/>
          </w:tcPr>
          <w:p w14:paraId="08F7C3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法定代表人身份证明及授权委托书</w:t>
            </w:r>
          </w:p>
        </w:tc>
        <w:tc>
          <w:tcPr>
            <w:tcW w:w="6190" w:type="dxa"/>
            <w:noWrap w:val="0"/>
            <w:vAlign w:val="center"/>
          </w:tcPr>
          <w:p w14:paraId="66D4E81F">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法定代表人身份证明及授权委托书有效，符合竞争性比选文件规定的格式，签署或盖章齐全。</w:t>
            </w:r>
          </w:p>
        </w:tc>
      </w:tr>
      <w:tr w14:paraId="1C4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07" w:type="dxa"/>
            <w:vMerge w:val="continue"/>
            <w:noWrap w:val="0"/>
            <w:vAlign w:val="center"/>
          </w:tcPr>
          <w:p w14:paraId="243AF1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2829" w:type="dxa"/>
            <w:noWrap w:val="0"/>
            <w:vAlign w:val="center"/>
          </w:tcPr>
          <w:p w14:paraId="50B135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响应</w:t>
            </w:r>
            <w:r>
              <w:rPr>
                <w:rFonts w:hint="eastAsia" w:ascii="仿宋" w:hAnsi="仿宋" w:eastAsia="仿宋" w:cs="仿宋"/>
                <w:color w:val="auto"/>
                <w:kern w:val="2"/>
                <w:sz w:val="24"/>
                <w:szCs w:val="24"/>
                <w:highlight w:val="none"/>
                <w:lang w:val="zh-CN" w:eastAsia="zh-CN" w:bidi="ar-SA"/>
              </w:rPr>
              <w:t>方案</w:t>
            </w:r>
          </w:p>
        </w:tc>
        <w:tc>
          <w:tcPr>
            <w:tcW w:w="6190" w:type="dxa"/>
            <w:noWrap w:val="0"/>
            <w:vAlign w:val="center"/>
          </w:tcPr>
          <w:p w14:paraId="50483E3E">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只能有一个</w:t>
            </w:r>
            <w:r>
              <w:rPr>
                <w:rFonts w:hint="eastAsia" w:ascii="仿宋" w:hAnsi="仿宋" w:eastAsia="仿宋" w:cs="仿宋"/>
                <w:color w:val="auto"/>
                <w:kern w:val="2"/>
                <w:sz w:val="24"/>
                <w:szCs w:val="24"/>
                <w:highlight w:val="none"/>
                <w:lang w:val="en-US" w:eastAsia="zh-CN" w:bidi="ar-SA"/>
              </w:rPr>
              <w:t>响应</w:t>
            </w:r>
            <w:r>
              <w:rPr>
                <w:rFonts w:hint="eastAsia" w:ascii="仿宋" w:hAnsi="仿宋" w:eastAsia="仿宋" w:cs="仿宋"/>
                <w:color w:val="auto"/>
                <w:kern w:val="2"/>
                <w:sz w:val="24"/>
                <w:szCs w:val="24"/>
                <w:highlight w:val="none"/>
                <w:lang w:val="zh-CN" w:eastAsia="zh-CN" w:bidi="ar-SA"/>
              </w:rPr>
              <w:t>方案。</w:t>
            </w:r>
          </w:p>
        </w:tc>
      </w:tr>
      <w:tr w14:paraId="41AD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7" w:type="dxa"/>
            <w:vMerge w:val="continue"/>
            <w:noWrap w:val="0"/>
            <w:vAlign w:val="center"/>
          </w:tcPr>
          <w:p w14:paraId="247FCD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2829" w:type="dxa"/>
            <w:noWrap w:val="0"/>
            <w:vAlign w:val="center"/>
          </w:tcPr>
          <w:p w14:paraId="05929F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报价唯一</w:t>
            </w:r>
          </w:p>
        </w:tc>
        <w:tc>
          <w:tcPr>
            <w:tcW w:w="6190" w:type="dxa"/>
            <w:noWrap w:val="0"/>
            <w:vAlign w:val="center"/>
          </w:tcPr>
          <w:p w14:paraId="3A4F575E">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只能</w:t>
            </w:r>
            <w:r>
              <w:rPr>
                <w:rFonts w:hint="eastAsia" w:ascii="仿宋" w:hAnsi="仿宋" w:eastAsia="仿宋" w:cs="仿宋"/>
                <w:color w:val="auto"/>
                <w:kern w:val="2"/>
                <w:sz w:val="24"/>
                <w:szCs w:val="24"/>
                <w:highlight w:val="none"/>
                <w:lang w:val="zh-CN" w:eastAsia="zh-CN" w:bidi="ar-SA"/>
              </w:rPr>
              <w:t>在预算金额和采购限价内报价，只能</w:t>
            </w:r>
            <w:r>
              <w:rPr>
                <w:rFonts w:hint="eastAsia" w:ascii="仿宋" w:hAnsi="仿宋" w:eastAsia="仿宋" w:cs="仿宋"/>
                <w:color w:val="auto"/>
                <w:kern w:val="2"/>
                <w:sz w:val="24"/>
                <w:szCs w:val="24"/>
                <w:highlight w:val="none"/>
                <w:lang w:val="en-US" w:eastAsia="zh-CN" w:bidi="ar-SA"/>
              </w:rPr>
              <w:t>有一个有效报价，不得提交选择性报价。</w:t>
            </w:r>
          </w:p>
        </w:tc>
      </w:tr>
      <w:tr w14:paraId="3159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07" w:type="dxa"/>
            <w:noWrap w:val="0"/>
            <w:vAlign w:val="center"/>
          </w:tcPr>
          <w:p w14:paraId="3C0570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2829" w:type="dxa"/>
            <w:noWrap w:val="0"/>
            <w:vAlign w:val="center"/>
          </w:tcPr>
          <w:p w14:paraId="2C769E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w:t>
            </w:r>
            <w:r>
              <w:rPr>
                <w:rFonts w:hint="eastAsia" w:ascii="仿宋" w:hAnsi="仿宋" w:eastAsia="仿宋" w:cs="仿宋"/>
                <w:color w:val="auto"/>
                <w:kern w:val="2"/>
                <w:sz w:val="24"/>
                <w:szCs w:val="24"/>
                <w:highlight w:val="none"/>
                <w:lang w:val="zh-CN" w:eastAsia="zh-CN" w:bidi="ar-SA"/>
              </w:rPr>
              <w:t>文件份数</w:t>
            </w:r>
          </w:p>
        </w:tc>
        <w:tc>
          <w:tcPr>
            <w:tcW w:w="6190" w:type="dxa"/>
            <w:noWrap w:val="0"/>
            <w:vAlign w:val="center"/>
          </w:tcPr>
          <w:p w14:paraId="49A63241">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w:t>
            </w:r>
            <w:r>
              <w:rPr>
                <w:rFonts w:hint="eastAsia" w:ascii="仿宋" w:hAnsi="仿宋" w:eastAsia="仿宋" w:cs="仿宋"/>
                <w:color w:val="auto"/>
                <w:kern w:val="2"/>
                <w:sz w:val="24"/>
                <w:szCs w:val="24"/>
                <w:highlight w:val="none"/>
                <w:lang w:val="zh-CN" w:eastAsia="zh-CN" w:bidi="ar-SA"/>
              </w:rPr>
              <w:t>文件正、副本数量符合</w:t>
            </w:r>
            <w:r>
              <w:rPr>
                <w:rFonts w:hint="eastAsia" w:ascii="仿宋" w:hAnsi="仿宋" w:eastAsia="仿宋" w:cs="仿宋"/>
                <w:color w:val="auto"/>
                <w:kern w:val="2"/>
                <w:sz w:val="24"/>
                <w:szCs w:val="24"/>
                <w:highlight w:val="none"/>
                <w:lang w:val="en-US" w:eastAsia="zh-CN" w:bidi="ar-SA"/>
              </w:rPr>
              <w:t>竞争性比选</w:t>
            </w:r>
            <w:r>
              <w:rPr>
                <w:rFonts w:hint="eastAsia" w:ascii="仿宋" w:hAnsi="仿宋" w:eastAsia="仿宋" w:cs="仿宋"/>
                <w:color w:val="auto"/>
                <w:kern w:val="2"/>
                <w:sz w:val="24"/>
                <w:szCs w:val="24"/>
                <w:highlight w:val="none"/>
                <w:lang w:val="zh-CN" w:eastAsia="zh-CN" w:bidi="ar-SA"/>
              </w:rPr>
              <w:t>文件要求。</w:t>
            </w:r>
          </w:p>
        </w:tc>
      </w:tr>
      <w:tr w14:paraId="388C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7" w:type="dxa"/>
            <w:vMerge w:val="restart"/>
            <w:noWrap w:val="0"/>
            <w:vAlign w:val="center"/>
          </w:tcPr>
          <w:p w14:paraId="029F8B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2829" w:type="dxa"/>
            <w:noWrap w:val="0"/>
            <w:vAlign w:val="center"/>
          </w:tcPr>
          <w:p w14:paraId="3BC713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响应文件内容</w:t>
            </w:r>
          </w:p>
        </w:tc>
        <w:tc>
          <w:tcPr>
            <w:tcW w:w="6190" w:type="dxa"/>
            <w:noWrap w:val="0"/>
            <w:vAlign w:val="center"/>
          </w:tcPr>
          <w:p w14:paraId="469DB133">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对竞争性比选文件第二篇、第三篇规定的比选内容进行实质性响应。</w:t>
            </w:r>
          </w:p>
        </w:tc>
      </w:tr>
      <w:tr w14:paraId="329B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7" w:type="dxa"/>
            <w:vMerge w:val="continue"/>
            <w:noWrap w:val="0"/>
            <w:vAlign w:val="center"/>
          </w:tcPr>
          <w:p w14:paraId="6F3447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2829" w:type="dxa"/>
            <w:noWrap w:val="0"/>
            <w:vAlign w:val="center"/>
          </w:tcPr>
          <w:p w14:paraId="49B6BA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比选有效期</w:t>
            </w:r>
          </w:p>
        </w:tc>
        <w:tc>
          <w:tcPr>
            <w:tcW w:w="6190" w:type="dxa"/>
            <w:noWrap w:val="0"/>
            <w:vAlign w:val="center"/>
          </w:tcPr>
          <w:p w14:paraId="2941FB43">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响应文件及有关承诺文件有效期为提交响应文件截止时间起90天。</w:t>
            </w:r>
          </w:p>
        </w:tc>
      </w:tr>
    </w:tbl>
    <w:p w14:paraId="7A898ADB">
      <w:pPr>
        <w:pStyle w:val="35"/>
        <w:pageBreakBefore w:val="0"/>
        <w:kinsoku/>
        <w:topLinePunct w:val="0"/>
        <w:bidi w:val="0"/>
        <w:spacing w:line="360" w:lineRule="auto"/>
        <w:rPr>
          <w:rFonts w:hint="eastAsia"/>
          <w:lang w:val="en-US" w:eastAsia="zh-CN"/>
        </w:rPr>
      </w:pPr>
    </w:p>
    <w:p w14:paraId="7D078F60">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bookmarkStart w:id="202" w:name="_Toc31997"/>
      <w:bookmarkStart w:id="203" w:name="_Toc21650"/>
      <w:bookmarkStart w:id="204" w:name="_Toc28549"/>
      <w:bookmarkStart w:id="205" w:name="_Toc5620"/>
      <w:bookmarkStart w:id="206" w:name="_Toc75793519"/>
      <w:bookmarkStart w:id="207" w:name="_Toc30011"/>
      <w:bookmarkStart w:id="208" w:name="_Toc9094"/>
      <w:bookmarkStart w:id="209" w:name="_Toc29140"/>
      <w:bookmarkStart w:id="210" w:name="_Toc30717"/>
      <w:bookmarkStart w:id="211" w:name="_Toc14824"/>
      <w:bookmarkStart w:id="212" w:name="_Toc26796"/>
      <w:bookmarkStart w:id="213" w:name="_Toc27633"/>
      <w:bookmarkStart w:id="214" w:name="_Toc20171"/>
      <w:bookmarkStart w:id="215" w:name="_Toc27015"/>
      <w:bookmarkStart w:id="216" w:name="_Toc25341"/>
      <w:r>
        <w:rPr>
          <w:rFonts w:hint="eastAsia" w:ascii="仿宋" w:hAnsi="仿宋" w:eastAsia="仿宋" w:cs="仿宋"/>
          <w:color w:val="auto"/>
          <w:kern w:val="2"/>
          <w:sz w:val="24"/>
          <w:szCs w:val="24"/>
          <w:highlight w:val="none"/>
          <w:lang w:val="en-US" w:eastAsia="zh-CN" w:bidi="ar-SA"/>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D32485">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BB227B2">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（五）在采购过程中采购的任何一方不得向他人透露与采购有关的技术资料、价格或其他信息。</w:t>
      </w:r>
    </w:p>
    <w:p w14:paraId="149F1C87">
      <w:pPr>
        <w:pStyle w:val="4"/>
        <w:pageBreakBefore w:val="0"/>
        <w:kinsoku/>
        <w:topLinePunct w:val="0"/>
        <w:bidi w:val="0"/>
        <w:spacing w:line="360" w:lineRule="auto"/>
        <w:rPr>
          <w:rFonts w:hint="eastAsia" w:ascii="仿宋" w:hAnsi="仿宋" w:eastAsia="仿宋" w:cs="仿宋"/>
          <w:color w:val="auto"/>
          <w:highlight w:val="none"/>
          <w:lang w:val="en-US" w:eastAsia="zh-CN"/>
        </w:rPr>
      </w:pPr>
      <w:bookmarkStart w:id="217" w:name="_Toc30759"/>
      <w:r>
        <w:rPr>
          <w:rFonts w:hint="eastAsia" w:ascii="仿宋" w:hAnsi="仿宋" w:eastAsia="仿宋" w:cs="仿宋"/>
          <w:color w:val="auto"/>
          <w:highlight w:val="none"/>
          <w:lang w:val="en-US" w:eastAsia="zh-CN"/>
        </w:rPr>
        <w:t>二、</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ascii="仿宋" w:hAnsi="仿宋" w:eastAsia="仿宋" w:cs="仿宋"/>
          <w:color w:val="auto"/>
          <w:highlight w:val="none"/>
          <w:lang w:val="en-US" w:eastAsia="zh-CN"/>
        </w:rPr>
        <w:t>成交原则</w:t>
      </w:r>
      <w:bookmarkEnd w:id="217"/>
    </w:p>
    <w:p w14:paraId="14061B1E">
      <w:pPr>
        <w:pageBreakBefore w:val="0"/>
        <w:kinsoku/>
        <w:topLinePunct w:val="0"/>
        <w:bidi w:val="0"/>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1、评分标准</w:t>
      </w:r>
    </w:p>
    <w:tbl>
      <w:tblPr>
        <w:tblStyle w:val="5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81"/>
        <w:gridCol w:w="554"/>
        <w:gridCol w:w="7346"/>
      </w:tblGrid>
      <w:tr w14:paraId="3CF6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27" w:type="dxa"/>
            <w:vAlign w:val="center"/>
          </w:tcPr>
          <w:p w14:paraId="3D52DF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auto"/>
                <w:kern w:val="2"/>
                <w:sz w:val="24"/>
                <w:szCs w:val="24"/>
                <w:highlight w:val="none"/>
                <w:lang w:val="en-US" w:eastAsia="zh-CN" w:bidi="ar-SA"/>
              </w:rPr>
            </w:pPr>
            <w:bookmarkStart w:id="218" w:name="_Toc22238"/>
            <w:r>
              <w:rPr>
                <w:rFonts w:hint="eastAsia" w:ascii="仿宋" w:hAnsi="仿宋" w:eastAsia="仿宋" w:cs="仿宋"/>
                <w:b/>
                <w:bCs/>
                <w:color w:val="auto"/>
                <w:kern w:val="2"/>
                <w:sz w:val="24"/>
                <w:szCs w:val="24"/>
                <w:highlight w:val="none"/>
                <w:lang w:val="en-US" w:eastAsia="zh-CN" w:bidi="ar-SA"/>
              </w:rPr>
              <w:t>序号</w:t>
            </w:r>
            <w:bookmarkEnd w:id="218"/>
          </w:p>
        </w:tc>
        <w:tc>
          <w:tcPr>
            <w:tcW w:w="1181" w:type="dxa"/>
            <w:vAlign w:val="center"/>
          </w:tcPr>
          <w:p w14:paraId="443916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auto"/>
                <w:kern w:val="2"/>
                <w:sz w:val="24"/>
                <w:szCs w:val="24"/>
                <w:highlight w:val="none"/>
                <w:lang w:val="en-US" w:eastAsia="zh-CN" w:bidi="ar-SA"/>
              </w:rPr>
            </w:pPr>
            <w:bookmarkStart w:id="219" w:name="_Toc3274"/>
            <w:r>
              <w:rPr>
                <w:rFonts w:hint="eastAsia" w:ascii="仿宋" w:hAnsi="仿宋" w:eastAsia="仿宋" w:cs="仿宋"/>
                <w:b/>
                <w:bCs/>
                <w:color w:val="auto"/>
                <w:kern w:val="2"/>
                <w:sz w:val="24"/>
                <w:szCs w:val="24"/>
                <w:highlight w:val="none"/>
                <w:lang w:val="en-US" w:eastAsia="zh-CN" w:bidi="ar-SA"/>
              </w:rPr>
              <w:t>评分因素</w:t>
            </w:r>
            <w:bookmarkEnd w:id="219"/>
          </w:p>
          <w:p w14:paraId="72B43D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auto"/>
                <w:kern w:val="2"/>
                <w:sz w:val="24"/>
                <w:szCs w:val="24"/>
                <w:highlight w:val="none"/>
                <w:lang w:val="en-US" w:eastAsia="zh-CN" w:bidi="ar-SA"/>
              </w:rPr>
            </w:pPr>
            <w:bookmarkStart w:id="220" w:name="_Toc3483"/>
            <w:r>
              <w:rPr>
                <w:rFonts w:hint="eastAsia" w:ascii="仿宋" w:hAnsi="仿宋" w:eastAsia="仿宋" w:cs="仿宋"/>
                <w:b/>
                <w:bCs/>
                <w:color w:val="auto"/>
                <w:kern w:val="2"/>
                <w:sz w:val="24"/>
                <w:szCs w:val="24"/>
                <w:highlight w:val="none"/>
                <w:lang w:val="en-US" w:eastAsia="zh-CN" w:bidi="ar-SA"/>
              </w:rPr>
              <w:t>及权重</w:t>
            </w:r>
            <w:bookmarkEnd w:id="220"/>
          </w:p>
        </w:tc>
        <w:tc>
          <w:tcPr>
            <w:tcW w:w="554" w:type="dxa"/>
            <w:vAlign w:val="center"/>
          </w:tcPr>
          <w:p w14:paraId="7A3281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auto"/>
                <w:kern w:val="2"/>
                <w:sz w:val="24"/>
                <w:szCs w:val="24"/>
                <w:highlight w:val="none"/>
                <w:lang w:val="en-US" w:eastAsia="zh-CN" w:bidi="ar-SA"/>
              </w:rPr>
            </w:pPr>
            <w:bookmarkStart w:id="221" w:name="_Toc26905"/>
            <w:r>
              <w:rPr>
                <w:rFonts w:hint="eastAsia" w:ascii="仿宋" w:hAnsi="仿宋" w:eastAsia="仿宋" w:cs="仿宋"/>
                <w:b/>
                <w:bCs/>
                <w:color w:val="auto"/>
                <w:kern w:val="2"/>
                <w:sz w:val="24"/>
                <w:szCs w:val="24"/>
                <w:highlight w:val="none"/>
                <w:lang w:val="en-US" w:eastAsia="zh-CN" w:bidi="ar-SA"/>
              </w:rPr>
              <w:t>分值</w:t>
            </w:r>
            <w:bookmarkEnd w:id="221"/>
          </w:p>
        </w:tc>
        <w:tc>
          <w:tcPr>
            <w:tcW w:w="7346" w:type="dxa"/>
            <w:vAlign w:val="center"/>
          </w:tcPr>
          <w:p w14:paraId="2AAA40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auto"/>
                <w:kern w:val="2"/>
                <w:sz w:val="24"/>
                <w:szCs w:val="24"/>
                <w:highlight w:val="none"/>
                <w:lang w:val="en-US" w:eastAsia="zh-CN" w:bidi="ar-SA"/>
              </w:rPr>
            </w:pPr>
            <w:bookmarkStart w:id="222" w:name="_Toc11202"/>
            <w:r>
              <w:rPr>
                <w:rFonts w:hint="eastAsia" w:ascii="仿宋" w:hAnsi="仿宋" w:eastAsia="仿宋" w:cs="仿宋"/>
                <w:b/>
                <w:bCs/>
                <w:color w:val="auto"/>
                <w:kern w:val="2"/>
                <w:sz w:val="24"/>
                <w:szCs w:val="24"/>
                <w:highlight w:val="none"/>
                <w:lang w:val="en-US" w:eastAsia="zh-CN" w:bidi="ar-SA"/>
              </w:rPr>
              <w:t>评分标准</w:t>
            </w:r>
            <w:bookmarkEnd w:id="222"/>
          </w:p>
        </w:tc>
      </w:tr>
      <w:tr w14:paraId="5C6B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427" w:type="dxa"/>
            <w:vAlign w:val="center"/>
          </w:tcPr>
          <w:p w14:paraId="72331B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bookmarkStart w:id="223" w:name="_Toc24391"/>
            <w:r>
              <w:rPr>
                <w:rFonts w:hint="eastAsia" w:ascii="仿宋" w:hAnsi="仿宋" w:eastAsia="仿宋" w:cs="仿宋"/>
                <w:color w:val="auto"/>
                <w:kern w:val="2"/>
                <w:sz w:val="24"/>
                <w:szCs w:val="24"/>
                <w:highlight w:val="none"/>
                <w:lang w:val="en-US" w:eastAsia="zh-CN" w:bidi="ar-SA"/>
              </w:rPr>
              <w:t>1</w:t>
            </w:r>
            <w:bookmarkEnd w:id="223"/>
          </w:p>
        </w:tc>
        <w:tc>
          <w:tcPr>
            <w:tcW w:w="1181" w:type="dxa"/>
            <w:vAlign w:val="center"/>
          </w:tcPr>
          <w:p w14:paraId="077D48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bookmarkStart w:id="224" w:name="_Toc13176"/>
            <w:r>
              <w:rPr>
                <w:rFonts w:hint="eastAsia" w:ascii="仿宋" w:hAnsi="仿宋" w:eastAsia="仿宋" w:cs="仿宋"/>
                <w:color w:val="auto"/>
                <w:kern w:val="2"/>
                <w:sz w:val="24"/>
                <w:szCs w:val="24"/>
                <w:highlight w:val="none"/>
                <w:lang w:val="en-US" w:eastAsia="zh-CN" w:bidi="ar-SA"/>
              </w:rPr>
              <w:t>报价</w:t>
            </w:r>
            <w:bookmarkEnd w:id="224"/>
            <w:r>
              <w:rPr>
                <w:rFonts w:hint="eastAsia" w:ascii="仿宋" w:hAnsi="仿宋" w:eastAsia="仿宋" w:cs="仿宋"/>
                <w:color w:val="auto"/>
                <w:kern w:val="2"/>
                <w:sz w:val="24"/>
                <w:szCs w:val="24"/>
                <w:highlight w:val="none"/>
                <w:lang w:val="en-US" w:eastAsia="zh-CN" w:bidi="ar-SA"/>
              </w:rPr>
              <w:t>（30%）</w:t>
            </w:r>
          </w:p>
        </w:tc>
        <w:tc>
          <w:tcPr>
            <w:tcW w:w="554" w:type="dxa"/>
            <w:vAlign w:val="center"/>
          </w:tcPr>
          <w:p w14:paraId="1D4AA4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7346" w:type="dxa"/>
            <w:vAlign w:val="center"/>
          </w:tcPr>
          <w:p w14:paraId="21613008">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有效的投标报价中的最低价为评标基准价，按照下列公式计算每个投标人的投标价格得分。</w:t>
            </w:r>
          </w:p>
          <w:p w14:paraId="14DE8274">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投标报价得分＝（评标基准价/投标报价）×价格权重×100。</w:t>
            </w:r>
          </w:p>
          <w:p w14:paraId="6107D7BE">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p>
        </w:tc>
      </w:tr>
      <w:tr w14:paraId="19C3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427" w:type="dxa"/>
            <w:vMerge w:val="restart"/>
            <w:vAlign w:val="center"/>
          </w:tcPr>
          <w:p w14:paraId="1E44D9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bookmarkStart w:id="225" w:name="_Toc15438"/>
            <w:r>
              <w:rPr>
                <w:rFonts w:hint="eastAsia" w:ascii="仿宋" w:hAnsi="仿宋" w:eastAsia="仿宋" w:cs="仿宋"/>
                <w:color w:val="auto"/>
                <w:kern w:val="2"/>
                <w:sz w:val="24"/>
                <w:szCs w:val="24"/>
                <w:highlight w:val="none"/>
                <w:lang w:val="en-US" w:eastAsia="zh-CN" w:bidi="ar-SA"/>
              </w:rPr>
              <w:t>2</w:t>
            </w:r>
            <w:bookmarkEnd w:id="225"/>
          </w:p>
        </w:tc>
        <w:tc>
          <w:tcPr>
            <w:tcW w:w="1181" w:type="dxa"/>
            <w:vMerge w:val="restart"/>
            <w:vAlign w:val="center"/>
          </w:tcPr>
          <w:p w14:paraId="52F39E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bookmarkStart w:id="226" w:name="_Toc200"/>
            <w:r>
              <w:rPr>
                <w:rFonts w:hint="eastAsia" w:ascii="仿宋" w:hAnsi="仿宋" w:eastAsia="仿宋" w:cs="仿宋"/>
                <w:color w:val="auto"/>
                <w:kern w:val="2"/>
                <w:sz w:val="24"/>
                <w:szCs w:val="24"/>
                <w:highlight w:val="none"/>
                <w:lang w:val="en-US" w:eastAsia="zh-CN" w:bidi="ar-SA"/>
              </w:rPr>
              <w:t>技术部分</w:t>
            </w:r>
            <w:bookmarkEnd w:id="226"/>
            <w:r>
              <w:rPr>
                <w:rFonts w:hint="eastAsia" w:ascii="仿宋" w:hAnsi="仿宋" w:eastAsia="仿宋" w:cs="仿宋"/>
                <w:color w:val="auto"/>
                <w:kern w:val="2"/>
                <w:sz w:val="24"/>
                <w:szCs w:val="24"/>
                <w:highlight w:val="none"/>
                <w:lang w:val="en-US" w:eastAsia="zh-CN" w:bidi="ar-SA"/>
              </w:rPr>
              <w:t>（70%）</w:t>
            </w:r>
          </w:p>
        </w:tc>
        <w:tc>
          <w:tcPr>
            <w:tcW w:w="554" w:type="dxa"/>
            <w:vMerge w:val="restart"/>
            <w:vAlign w:val="center"/>
          </w:tcPr>
          <w:p w14:paraId="0123D3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70</w:t>
            </w:r>
          </w:p>
        </w:tc>
        <w:tc>
          <w:tcPr>
            <w:tcW w:w="7346" w:type="dxa"/>
            <w:vAlign w:val="center"/>
          </w:tcPr>
          <w:p w14:paraId="5BB3E9B8">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1.施工方案 （12分）</w:t>
            </w:r>
          </w:p>
          <w:p w14:paraId="0415EF93">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本项目的实际情况，提供施工方案，包含不限于施工方法、施工顺序、施工器具、施工技术、施工材料、对施工现场周围环境污染的保护措施等。方案详实、具体、可行得8-12分，方案较详实、具体、可行得4-7分，方案不够详实、具体，但具有一定可行性得1-3分，未提供得0分。</w:t>
            </w:r>
          </w:p>
        </w:tc>
      </w:tr>
      <w:tr w14:paraId="7A9A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27" w:type="dxa"/>
            <w:vMerge w:val="continue"/>
            <w:vAlign w:val="center"/>
          </w:tcPr>
          <w:p w14:paraId="450D78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81" w:type="dxa"/>
            <w:vMerge w:val="continue"/>
            <w:vAlign w:val="center"/>
          </w:tcPr>
          <w:p w14:paraId="5C1C2B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554" w:type="dxa"/>
            <w:vMerge w:val="continue"/>
            <w:vAlign w:val="center"/>
          </w:tcPr>
          <w:p w14:paraId="659D6C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7346" w:type="dxa"/>
            <w:vAlign w:val="center"/>
          </w:tcPr>
          <w:p w14:paraId="55DD1BB4">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2.施工配置情况（12分）</w:t>
            </w:r>
          </w:p>
          <w:p w14:paraId="62E0EC10">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施工设备配置情况，包含不限于施工组织架构、人员配备、资源配备及设备配置等。方案详实、具体、可行得8-12分，方案较详实、具体、可行得4-7分，方案不够详实、具体，但具有一定可行性得1-3分，未提供得0分。</w:t>
            </w:r>
          </w:p>
        </w:tc>
      </w:tr>
      <w:tr w14:paraId="299D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continue"/>
            <w:vAlign w:val="center"/>
          </w:tcPr>
          <w:p w14:paraId="3C6DDD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81" w:type="dxa"/>
            <w:vMerge w:val="continue"/>
            <w:vAlign w:val="center"/>
          </w:tcPr>
          <w:p w14:paraId="427A68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554" w:type="dxa"/>
            <w:vMerge w:val="continue"/>
            <w:vAlign w:val="center"/>
          </w:tcPr>
          <w:p w14:paraId="1505BA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7346" w:type="dxa"/>
            <w:vAlign w:val="center"/>
          </w:tcPr>
          <w:p w14:paraId="453D6911">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3.质量保证措施（12分）</w:t>
            </w:r>
          </w:p>
          <w:p w14:paraId="58DFCE07">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保证措施是否健全有效，硬性措施是否切实可行，限期工程的赶工措施是否可行。保证措施具有针对性，材料的质量保证措施满足询比文件所要求的工程质量要求。方案详实、具体、可行得8-12分，方案较详实、具体、可行得4-7分，方案不够详实、具体，但具有一定可行性得1-3分，未提供得0分。</w:t>
            </w:r>
          </w:p>
        </w:tc>
      </w:tr>
      <w:tr w14:paraId="700D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27" w:type="dxa"/>
            <w:vMerge w:val="continue"/>
            <w:vAlign w:val="center"/>
          </w:tcPr>
          <w:p w14:paraId="39742F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81" w:type="dxa"/>
            <w:vMerge w:val="continue"/>
            <w:vAlign w:val="center"/>
          </w:tcPr>
          <w:p w14:paraId="044EEB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554" w:type="dxa"/>
            <w:vMerge w:val="continue"/>
            <w:vAlign w:val="center"/>
          </w:tcPr>
          <w:p w14:paraId="2FF8AD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7346" w:type="dxa"/>
            <w:vAlign w:val="center"/>
          </w:tcPr>
          <w:p w14:paraId="0C93CC0E">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4.安全及应急预案（12分）</w:t>
            </w:r>
          </w:p>
          <w:p w14:paraId="3461203B">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安全及应急预案全有效，施工安全专项方案及安全管理保证措施具有针对性、文明施工和防止扰民措施是否得当等。方案详实、具体、可行得8-12分，方案较详实、具体、可行得4-7分，方案不够详实、具体，但具有一定可行性得1-3分，未提供得0分。</w:t>
            </w:r>
          </w:p>
        </w:tc>
      </w:tr>
      <w:tr w14:paraId="6189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7" w:type="dxa"/>
            <w:vMerge w:val="continue"/>
            <w:vAlign w:val="center"/>
          </w:tcPr>
          <w:p w14:paraId="585F38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181" w:type="dxa"/>
            <w:vMerge w:val="continue"/>
            <w:vAlign w:val="center"/>
          </w:tcPr>
          <w:p w14:paraId="2ED3A7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554" w:type="dxa"/>
            <w:vMerge w:val="continue"/>
            <w:vAlign w:val="center"/>
          </w:tcPr>
          <w:p w14:paraId="7C8B65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7346" w:type="dxa"/>
            <w:vAlign w:val="center"/>
          </w:tcPr>
          <w:p w14:paraId="12AD9C53">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5.进度计划（22分）</w:t>
            </w:r>
          </w:p>
          <w:p w14:paraId="524DFC56">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进度安排满足项目进度要求，关键线路进度安排可行、合理，实现进度安排的保证措施可行，工期安排合理可行，有序组织施工，在确保质量、降低成本、缩短工期、减轻劳动强度、提高工效等方面发挥很好作用得18-22分，方案较详实、具体、可行得12-17分，方案不够详实、具体，但具有一定可行性得1-11分，未提供得0分。</w:t>
            </w:r>
          </w:p>
        </w:tc>
      </w:tr>
      <w:tr w14:paraId="3F10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7" w:type="dxa"/>
            <w:vAlign w:val="center"/>
          </w:tcPr>
          <w:p w14:paraId="57A83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181" w:type="dxa"/>
            <w:vAlign w:val="center"/>
          </w:tcPr>
          <w:p w14:paraId="744C07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供应商得分</w:t>
            </w:r>
          </w:p>
        </w:tc>
        <w:tc>
          <w:tcPr>
            <w:tcW w:w="554" w:type="dxa"/>
            <w:vAlign w:val="center"/>
          </w:tcPr>
          <w:p w14:paraId="754647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7346" w:type="dxa"/>
            <w:vAlign w:val="center"/>
          </w:tcPr>
          <w:p w14:paraId="0F5C5781">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供应商得分=</w:t>
            </w:r>
            <w:r>
              <w:rPr>
                <w:rFonts w:hint="eastAsia" w:ascii="仿宋" w:hAnsi="仿宋" w:eastAsia="仿宋" w:cs="仿宋"/>
                <w:color w:val="auto"/>
                <w:kern w:val="2"/>
                <w:sz w:val="24"/>
                <w:szCs w:val="24"/>
                <w:highlight w:val="none"/>
                <w:lang w:val="en-US" w:eastAsia="zh-CN" w:bidi="ar-SA"/>
              </w:rPr>
              <w:t>报价得分+技术部分得分</w:t>
            </w:r>
          </w:p>
        </w:tc>
      </w:tr>
    </w:tbl>
    <w:p w14:paraId="0B6A7838">
      <w:pPr>
        <w:pageBreakBefore w:val="0"/>
        <w:kinsoku/>
        <w:topLinePunct w:val="0"/>
        <w:bidi w:val="0"/>
        <w:snapToGrid w:val="0"/>
        <w:spacing w:line="360" w:lineRule="auto"/>
        <w:ind w:firstLine="480"/>
        <w:rPr>
          <w:rFonts w:hint="eastAsia"/>
          <w:lang w:val="en-US" w:eastAsia="zh-CN"/>
        </w:rPr>
      </w:pPr>
      <w:r>
        <w:rPr>
          <w:rFonts w:hint="eastAsia" w:ascii="仿宋" w:hAnsi="仿宋" w:eastAsia="仿宋" w:cs="仿宋"/>
        </w:rPr>
        <w:t>说明：评审小组认为，排名在前面的候选供应商的报价或者某些分项报价明显不合理或者低于成本，有可能影响服务质量和不能诚信履约的，将要求其在规定的期限内提供书面文件予以解释说明，并提交相关证明材料；否则，评审小组可以取消该候选供应商的资格，按顺序由排在后一位的候选供应商递补，以此类推。</w:t>
      </w:r>
    </w:p>
    <w:p w14:paraId="3D59E012">
      <w:pPr>
        <w:pStyle w:val="4"/>
        <w:pageBreakBefore w:val="0"/>
        <w:kinsoku/>
        <w:topLinePunct w:val="0"/>
        <w:bidi w:val="0"/>
        <w:spacing w:line="360" w:lineRule="auto"/>
        <w:rPr>
          <w:rFonts w:hint="eastAsia" w:ascii="仿宋" w:hAnsi="仿宋" w:eastAsia="仿宋" w:cs="仿宋"/>
          <w:color w:val="auto"/>
          <w:highlight w:val="none"/>
          <w:lang w:val="en-US" w:eastAsia="zh-CN"/>
        </w:rPr>
      </w:pPr>
      <w:bookmarkStart w:id="227" w:name="_Toc6845"/>
      <w:bookmarkStart w:id="228" w:name="_Toc26486"/>
      <w:r>
        <w:rPr>
          <w:rFonts w:hint="eastAsia" w:ascii="仿宋" w:hAnsi="仿宋" w:eastAsia="仿宋" w:cs="仿宋"/>
          <w:color w:val="auto"/>
          <w:highlight w:val="none"/>
          <w:lang w:val="en-US" w:eastAsia="zh-CN"/>
        </w:rPr>
        <w:t>三、无效响应</w:t>
      </w:r>
      <w:bookmarkEnd w:id="227"/>
      <w:bookmarkEnd w:id="228"/>
    </w:p>
    <w:p w14:paraId="7AAC40D6">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供应商发生以下条款情况之一者，视为无效响应，其响应文件将被拒绝：</w:t>
      </w:r>
    </w:p>
    <w:p w14:paraId="59357BCA">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（一）供应商不符合规定的资格条件的；</w:t>
      </w:r>
    </w:p>
    <w:p w14:paraId="3BE60344">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（二）供应商未通过实质性响应审查的；</w:t>
      </w:r>
    </w:p>
    <w:p w14:paraId="450184DD">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（三）供应商所提交的响应文件不按“第七篇响应文件编制要求”规定签署或盖章的；</w:t>
      </w:r>
    </w:p>
    <w:p w14:paraId="74887EE8">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（四）供应商的报价超过采购预算或最高限价的；</w:t>
      </w:r>
    </w:p>
    <w:p w14:paraId="6D031CFB">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（五）单位负责人为同一人或者存在直接控股、管理关系的不同供应商，参加同一合同项（包）报价的；</w:t>
      </w:r>
    </w:p>
    <w:p w14:paraId="59345450">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（六）为采购项目提供整体设计、规范编制或者项目管理、监理、检测等服务的供应商，再参加该采购项目的其他采购活动的；</w:t>
      </w:r>
    </w:p>
    <w:p w14:paraId="2B9321CA">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（七）供应商的投标有效期不满足采购文件要求的；</w:t>
      </w:r>
    </w:p>
    <w:p w14:paraId="401E2B9D">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（八）供应商响应文件内容有与国家现行法律法规相违背的内容，或附有采购人无法接受的条件的。</w:t>
      </w:r>
    </w:p>
    <w:p w14:paraId="4FBD86C3">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（九）法律、法规和采购文件规定的其他无效情形的。</w:t>
      </w:r>
    </w:p>
    <w:p w14:paraId="28BCE972">
      <w:pPr>
        <w:pStyle w:val="4"/>
        <w:pageBreakBefore w:val="0"/>
        <w:kinsoku/>
        <w:topLinePunct w:val="0"/>
        <w:bidi w:val="0"/>
        <w:spacing w:line="360" w:lineRule="auto"/>
        <w:rPr>
          <w:rFonts w:hint="eastAsia" w:ascii="仿宋" w:hAnsi="仿宋" w:eastAsia="仿宋" w:cs="仿宋"/>
          <w:color w:val="auto"/>
          <w:highlight w:val="none"/>
          <w:lang w:val="en-US" w:eastAsia="zh-CN"/>
        </w:rPr>
      </w:pPr>
      <w:bookmarkStart w:id="229" w:name="_Toc12357"/>
      <w:bookmarkStart w:id="230" w:name="_Toc466546923"/>
      <w:bookmarkStart w:id="231" w:name="_Toc13966"/>
      <w:bookmarkStart w:id="232" w:name="_Toc15724"/>
      <w:bookmarkStart w:id="233" w:name="_Toc5460"/>
      <w:r>
        <w:rPr>
          <w:rFonts w:hint="eastAsia" w:ascii="仿宋" w:hAnsi="仿宋" w:eastAsia="仿宋" w:cs="仿宋"/>
          <w:color w:val="auto"/>
          <w:highlight w:val="none"/>
          <w:lang w:val="en-US" w:eastAsia="zh-CN"/>
        </w:rPr>
        <w:t>四、采购终止</w:t>
      </w:r>
      <w:bookmarkEnd w:id="229"/>
      <w:bookmarkEnd w:id="230"/>
      <w:bookmarkEnd w:id="231"/>
      <w:bookmarkEnd w:id="232"/>
      <w:bookmarkEnd w:id="233"/>
    </w:p>
    <w:p w14:paraId="4E915445">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出现下列情形之一的，采购人或者采购代理机构应当终止采购活动，发布项目终止公告并说明原因，重新开展采购活动：</w:t>
      </w:r>
    </w:p>
    <w:p w14:paraId="34692DB8">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（一）因情况变化，不再符合规定的采购方式适用情形的；</w:t>
      </w:r>
    </w:p>
    <w:p w14:paraId="2F8F9AED">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（二）出现影响采购公正的违法、违规行为的；</w:t>
      </w:r>
    </w:p>
    <w:p w14:paraId="6D441A40">
      <w:pPr>
        <w:pageBreakBefore w:val="0"/>
        <w:kinsoku/>
        <w:topLinePunct w:val="0"/>
        <w:bidi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（三）在采购过程中符合要求的供应商或者报价未超过采购预算的供应商不足2家的。</w:t>
      </w:r>
    </w:p>
    <w:p w14:paraId="09C28712">
      <w:pPr>
        <w:pageBreakBefore w:val="0"/>
        <w:kinsoku/>
        <w:topLinePunct w:val="0"/>
        <w:bidi w:val="0"/>
        <w:spacing w:line="360" w:lineRule="auto"/>
        <w:ind w:firstLine="240" w:firstLineChars="100"/>
        <w:rPr>
          <w:rFonts w:hint="eastAsia" w:ascii="仿宋" w:hAnsi="仿宋" w:eastAsia="仿宋" w:cs="仿宋"/>
          <w:color w:val="auto"/>
          <w:kern w:val="2"/>
          <w:sz w:val="24"/>
          <w:szCs w:val="24"/>
          <w:highlight w:val="none"/>
          <w:lang w:val="en-US" w:eastAsia="zh-CN" w:bidi="ar-SA"/>
        </w:rPr>
      </w:pPr>
    </w:p>
    <w:p w14:paraId="4CFD3A48">
      <w:pPr>
        <w:pStyle w:val="4"/>
        <w:pageBreakBefore w:val="0"/>
        <w:kinsoku/>
        <w:topLinePunct w:val="0"/>
        <w:bidi w:val="0"/>
        <w:spacing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34" w:name="_Toc13159"/>
      <w:bookmarkStart w:id="235" w:name="_Toc12533"/>
      <w:bookmarkStart w:id="236" w:name="_Toc25755"/>
      <w:bookmarkStart w:id="237" w:name="_Toc29546"/>
      <w:bookmarkStart w:id="238" w:name="_Toc75793523"/>
      <w:bookmarkStart w:id="239" w:name="_Toc22256"/>
      <w:bookmarkStart w:id="240" w:name="_Toc19831"/>
      <w:bookmarkStart w:id="241" w:name="_Toc5106"/>
      <w:bookmarkStart w:id="242" w:name="_Toc4735"/>
      <w:bookmarkStart w:id="243" w:name="_Toc22201"/>
      <w:bookmarkStart w:id="244" w:name="_Toc1982"/>
      <w:bookmarkStart w:id="245" w:name="_Toc25962"/>
      <w:bookmarkStart w:id="246" w:name="_Toc21720"/>
      <w:bookmarkStart w:id="247" w:name="_Toc21000"/>
      <w:bookmarkStart w:id="248" w:name="_Toc18502"/>
    </w:p>
    <w:p w14:paraId="6AAE4A9E">
      <w:pPr>
        <w:pStyle w:val="3"/>
        <w:pageBreakBefore w:val="0"/>
        <w:kinsoku/>
        <w:topLinePunct w:val="0"/>
        <w:bidi w:val="0"/>
        <w:spacing w:before="0" w:beforeLines="0" w:after="0" w:afterLines="0" w:line="360" w:lineRule="auto"/>
        <w:outlineLvl w:val="1"/>
        <w:rPr>
          <w:rFonts w:hint="eastAsia" w:ascii="仿宋" w:hAnsi="仿宋" w:eastAsia="仿宋" w:cs="仿宋"/>
          <w:b/>
          <w:color w:val="auto"/>
          <w:highlight w:val="none"/>
        </w:rPr>
      </w:pPr>
      <w:bookmarkStart w:id="249" w:name="_Toc15694"/>
      <w:r>
        <w:rPr>
          <w:rFonts w:hint="eastAsia" w:ascii="仿宋" w:hAnsi="仿宋" w:eastAsia="仿宋" w:cs="仿宋"/>
          <w:b/>
          <w:color w:val="auto"/>
          <w:highlight w:val="none"/>
        </w:rPr>
        <w:t xml:space="preserve">第五篇  </w:t>
      </w:r>
      <w:r>
        <w:rPr>
          <w:rFonts w:hint="eastAsia" w:ascii="仿宋" w:hAnsi="仿宋" w:eastAsia="仿宋" w:cs="仿宋"/>
          <w:b/>
          <w:color w:val="auto"/>
          <w:highlight w:val="none"/>
          <w:lang w:eastAsia="zh-CN"/>
        </w:rPr>
        <w:t>供应商</w:t>
      </w:r>
      <w:r>
        <w:rPr>
          <w:rFonts w:hint="eastAsia" w:ascii="仿宋" w:hAnsi="仿宋" w:eastAsia="仿宋" w:cs="仿宋"/>
          <w:b/>
          <w:color w:val="auto"/>
          <w:highlight w:val="none"/>
        </w:rPr>
        <w:t>须知</w:t>
      </w:r>
      <w:bookmarkEnd w:id="249"/>
    </w:p>
    <w:p w14:paraId="113001B3">
      <w:pPr>
        <w:pageBreakBefore w:val="0"/>
        <w:widowControl w:val="0"/>
        <w:shd w:val="clear" w:color="auto"/>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val="0"/>
          <w:color w:val="auto"/>
          <w:sz w:val="24"/>
          <w:szCs w:val="24"/>
          <w:highlight w:val="none"/>
          <w:lang w:val="en-US" w:eastAsia="zh-CN"/>
        </w:rPr>
      </w:pPr>
      <w:bookmarkStart w:id="250" w:name="_Toc8295"/>
      <w:bookmarkStart w:id="251" w:name="_Toc342913389"/>
      <w:bookmarkStart w:id="252" w:name="_Toc12789059"/>
      <w:bookmarkStart w:id="253" w:name="_Toc11641055"/>
      <w:r>
        <w:rPr>
          <w:rFonts w:hint="eastAsia" w:ascii="仿宋" w:hAnsi="仿宋" w:eastAsia="仿宋" w:cs="仿宋"/>
          <w:b/>
          <w:bCs w:val="0"/>
          <w:color w:val="auto"/>
          <w:sz w:val="24"/>
          <w:szCs w:val="24"/>
          <w:highlight w:val="none"/>
          <w:lang w:val="en-US" w:eastAsia="zh-CN"/>
        </w:rPr>
        <w:t>一、网上竞采费用</w:t>
      </w:r>
      <w:bookmarkEnd w:id="250"/>
      <w:bookmarkEnd w:id="251"/>
    </w:p>
    <w:p w14:paraId="279E7315">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参与网上竞采的供应商应承担其编制响应文件与递交响应文件所涉及的一切费用，不论网上竞采结果如何，采购人和采购代理机构在任何情况下无义务也无责任承担这些费用。</w:t>
      </w:r>
    </w:p>
    <w:p w14:paraId="16709B43">
      <w:pPr>
        <w:pageBreakBefore w:val="0"/>
        <w:widowControl w:val="0"/>
        <w:shd w:val="clear" w:color="auto"/>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val="0"/>
          <w:color w:val="auto"/>
          <w:sz w:val="24"/>
          <w:szCs w:val="24"/>
          <w:highlight w:val="none"/>
          <w:lang w:val="en-US" w:eastAsia="zh-CN"/>
        </w:rPr>
      </w:pPr>
      <w:bookmarkStart w:id="254" w:name="_Toc22547"/>
      <w:bookmarkStart w:id="255" w:name="_Toc342913391"/>
      <w:r>
        <w:rPr>
          <w:rFonts w:hint="eastAsia" w:ascii="仿宋" w:hAnsi="仿宋" w:eastAsia="仿宋" w:cs="仿宋"/>
          <w:b/>
          <w:bCs w:val="0"/>
          <w:color w:val="auto"/>
          <w:sz w:val="24"/>
          <w:szCs w:val="24"/>
          <w:highlight w:val="none"/>
          <w:lang w:val="en-US" w:eastAsia="zh-CN"/>
        </w:rPr>
        <w:t>二、网上竞采文件</w:t>
      </w:r>
      <w:bookmarkEnd w:id="254"/>
      <w:bookmarkEnd w:id="255"/>
    </w:p>
    <w:p w14:paraId="6E1C3A78">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（一）网上竞采文件由采购邀请书、采购项目技术需求、采购项目商务需求、网上竞采程序及方法、评审标准、响应无效和采购终止、供应商须知、合同主要条款和格式合同、响应文件编制要求七部分组成。</w:t>
      </w:r>
    </w:p>
    <w:p w14:paraId="798E1F18">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（二）采购人（或采购代理机构）所作的一切有效的书面通知、修改及补充，都是网上竞采文件不可分割的部分。</w:t>
      </w:r>
    </w:p>
    <w:p w14:paraId="72345D9D">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（三）网上竞采文件的解释</w:t>
      </w:r>
    </w:p>
    <w:p w14:paraId="472DEC0A">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如对网上竞采文件有疑问，必须以书面形式在提交响应文件截止时间2个工作日前向采购人（或采购代理机构）要求澄清，采购人（或采购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bookmarkStart w:id="256" w:name="_Toc318166429"/>
      <w:bookmarkStart w:id="257" w:name="_Toc318159780"/>
      <w:bookmarkStart w:id="258" w:name="_Toc318159349"/>
      <w:bookmarkStart w:id="259" w:name="_Toc318159160"/>
    </w:p>
    <w:p w14:paraId="44C22129">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（四）本网上竞采文件中，竞采小组根据与供应商进行网上竞采可能实质性变动的内容为网上竞采文件第二、三、四篇全部内容。</w:t>
      </w:r>
    </w:p>
    <w:p w14:paraId="0686DC51">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（五）评审的依据为网上竞采文件和响应文件（含有效的书面承诺）。</w:t>
      </w:r>
      <w:r>
        <w:rPr>
          <w:rFonts w:hint="eastAsia" w:ascii="仿宋" w:hAnsi="仿宋" w:eastAsia="仿宋" w:cs="仿宋"/>
          <w:color w:val="auto"/>
          <w:kern w:val="0"/>
          <w:sz w:val="24"/>
          <w:szCs w:val="24"/>
          <w:highlight w:val="none"/>
          <w:lang w:eastAsia="zh-CN"/>
        </w:rPr>
        <w:t>竞采小组</w:t>
      </w:r>
      <w:r>
        <w:rPr>
          <w:rFonts w:hint="eastAsia" w:ascii="仿宋" w:hAnsi="仿宋" w:eastAsia="仿宋" w:cs="仿宋"/>
          <w:color w:val="auto"/>
          <w:kern w:val="0"/>
          <w:sz w:val="24"/>
          <w:szCs w:val="24"/>
          <w:highlight w:val="none"/>
        </w:rPr>
        <w:t>判断响应文件对网上竞采文件的响应，仅基于响应文件本身而不靠外部证据。</w:t>
      </w:r>
    </w:p>
    <w:bookmarkEnd w:id="256"/>
    <w:bookmarkEnd w:id="257"/>
    <w:bookmarkEnd w:id="258"/>
    <w:bookmarkEnd w:id="259"/>
    <w:p w14:paraId="4B60A527">
      <w:pPr>
        <w:pageBreakBefore w:val="0"/>
        <w:widowControl w:val="0"/>
        <w:shd w:val="clear" w:color="auto"/>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val="0"/>
          <w:color w:val="auto"/>
          <w:sz w:val="24"/>
          <w:szCs w:val="24"/>
          <w:highlight w:val="none"/>
          <w:lang w:val="en-US" w:eastAsia="zh-CN"/>
        </w:rPr>
      </w:pPr>
      <w:bookmarkStart w:id="260" w:name="_Toc179714297"/>
      <w:bookmarkStart w:id="261" w:name="_Toc102227318"/>
      <w:bookmarkStart w:id="262" w:name="_Toc1353"/>
      <w:bookmarkStart w:id="263" w:name="_Toc342913392"/>
      <w:r>
        <w:rPr>
          <w:rFonts w:hint="eastAsia" w:ascii="仿宋" w:hAnsi="仿宋" w:eastAsia="仿宋" w:cs="仿宋"/>
          <w:b/>
          <w:bCs w:val="0"/>
          <w:color w:val="auto"/>
          <w:sz w:val="24"/>
          <w:szCs w:val="24"/>
          <w:highlight w:val="none"/>
          <w:lang w:val="en-US" w:eastAsia="zh-CN"/>
        </w:rPr>
        <w:t>三、网上竞采要求</w:t>
      </w:r>
      <w:bookmarkEnd w:id="260"/>
      <w:bookmarkEnd w:id="261"/>
      <w:bookmarkEnd w:id="262"/>
      <w:bookmarkEnd w:id="263"/>
    </w:p>
    <w:p w14:paraId="492B405C">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（一）响应文件</w:t>
      </w:r>
    </w:p>
    <w:p w14:paraId="26AF98AC">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1.供应商应当按照网上竞采文件的要求编制响应文件，并对网上竞采文件提出的要求和条件作出实质性响应，同时应编制完整的目录。</w:t>
      </w:r>
    </w:p>
    <w:p w14:paraId="746436BF">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2.响应文件组成</w:t>
      </w:r>
    </w:p>
    <w:p w14:paraId="16D344DA">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BA8EF1A">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（二）联合体</w:t>
      </w:r>
    </w:p>
    <w:p w14:paraId="1FBD116D">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本项目不接受联合体竞标。</w:t>
      </w:r>
    </w:p>
    <w:p w14:paraId="2232BB65">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（三）网上竞采有效期：响应文件及有关承诺文件有效期为提交响应文件截止时间起90天。</w:t>
      </w:r>
    </w:p>
    <w:p w14:paraId="57F3F23B">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（四）修正错误</w:t>
      </w:r>
    </w:p>
    <w:p w14:paraId="4260AC63">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1.若供应商所递交的响应文件中的价格出现大写金额和小写金额不一致的错误，以大写金额修正为准。</w:t>
      </w:r>
    </w:p>
    <w:p w14:paraId="555E003D">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竞采小组</w:t>
      </w:r>
      <w:r>
        <w:rPr>
          <w:rFonts w:hint="eastAsia" w:ascii="仿宋" w:hAnsi="仿宋" w:eastAsia="仿宋" w:cs="仿宋"/>
          <w:color w:val="auto"/>
          <w:kern w:val="0"/>
          <w:sz w:val="24"/>
          <w:szCs w:val="24"/>
          <w:highlight w:val="none"/>
        </w:rPr>
        <w:t>按上述修正错误的原则及方法修正供应商的报价，供应商同意并签字确认后，修正后的报价对供应商具有约束作用。如果供应商不接受修正后的价格，将失去成为供应商的资格。</w:t>
      </w:r>
    </w:p>
    <w:p w14:paraId="40FD8F4B">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（五）提交响应文件的份数和签署</w:t>
      </w:r>
    </w:p>
    <w:p w14:paraId="0F831A11">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1.供应商须在平台报价并上传盖章后的响应文件电子文档一份。</w:t>
      </w:r>
    </w:p>
    <w:p w14:paraId="5AEF6124">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2.在网上电子文档及响应文件正本中，网上竞采文件第七篇响应文件编制要求中规定签字、盖章的地方必须按其规定签字、盖章。</w:t>
      </w:r>
    </w:p>
    <w:p w14:paraId="1AF50065">
      <w:pPr>
        <w:pageBreakBefore w:val="0"/>
        <w:widowControl w:val="0"/>
        <w:shd w:val="clear" w:color="auto"/>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val="0"/>
          <w:color w:val="auto"/>
          <w:sz w:val="24"/>
          <w:szCs w:val="24"/>
          <w:highlight w:val="none"/>
          <w:lang w:val="en-US" w:eastAsia="zh-CN"/>
        </w:rPr>
      </w:pPr>
      <w:bookmarkStart w:id="264" w:name="_Toc16869"/>
      <w:r>
        <w:rPr>
          <w:rFonts w:hint="eastAsia" w:ascii="仿宋" w:hAnsi="仿宋" w:eastAsia="仿宋" w:cs="仿宋"/>
          <w:b/>
          <w:bCs w:val="0"/>
          <w:color w:val="auto"/>
          <w:sz w:val="24"/>
          <w:szCs w:val="24"/>
          <w:highlight w:val="none"/>
          <w:lang w:val="en-US" w:eastAsia="zh-CN"/>
        </w:rPr>
        <w:t>四、成交供应商的确认和变更</w:t>
      </w:r>
      <w:bookmarkEnd w:id="264"/>
    </w:p>
    <w:p w14:paraId="230ED33E">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（一）成交供应商的确认</w:t>
      </w:r>
    </w:p>
    <w:p w14:paraId="5F4D5CB0">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仿宋" w:hAnsi="仿宋" w:eastAsia="仿宋" w:cs="仿宋"/>
          <w:color w:val="auto"/>
          <w:kern w:val="0"/>
          <w:sz w:val="24"/>
          <w:szCs w:val="24"/>
          <w:highlight w:val="none"/>
          <w:lang w:eastAsia="zh-CN"/>
        </w:rPr>
        <w:t>竞采小组</w:t>
      </w:r>
      <w:r>
        <w:rPr>
          <w:rFonts w:hint="eastAsia" w:ascii="仿宋" w:hAnsi="仿宋" w:eastAsia="仿宋" w:cs="仿宋"/>
          <w:color w:val="auto"/>
          <w:kern w:val="0"/>
          <w:sz w:val="24"/>
          <w:szCs w:val="24"/>
          <w:highlight w:val="none"/>
        </w:rPr>
        <w:t>直接确定成交供应商。采购人逾期未确定成交供应商且不提出异议的，视为确定评审报告提出的排序第一的供应商为成交供应商。</w:t>
      </w:r>
    </w:p>
    <w:p w14:paraId="16EF9BD5">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（二）成交供应商的变更</w:t>
      </w:r>
    </w:p>
    <w:p w14:paraId="3F18DFC7">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成交供应商拒绝与采购人签订合同的，采购人可以按照评标报告推荐的成交候选供应商顺序，确定排名下一位的候选人为成交供应商，也可以重新开展采购活动。</w:t>
      </w:r>
    </w:p>
    <w:p w14:paraId="4649B698">
      <w:pPr>
        <w:pageBreakBefore w:val="0"/>
        <w:widowControl w:val="0"/>
        <w:shd w:val="clear" w:color="auto"/>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val="0"/>
          <w:color w:val="auto"/>
          <w:sz w:val="24"/>
          <w:szCs w:val="24"/>
          <w:highlight w:val="none"/>
          <w:lang w:val="en-US" w:eastAsia="zh-CN"/>
        </w:rPr>
      </w:pPr>
      <w:bookmarkStart w:id="265" w:name="_Toc102227321"/>
      <w:bookmarkStart w:id="266" w:name="_Toc15497"/>
      <w:bookmarkStart w:id="267" w:name="_Toc342913395"/>
      <w:r>
        <w:rPr>
          <w:rFonts w:hint="eastAsia" w:ascii="仿宋" w:hAnsi="仿宋" w:eastAsia="仿宋" w:cs="仿宋"/>
          <w:b/>
          <w:bCs w:val="0"/>
          <w:color w:val="auto"/>
          <w:sz w:val="24"/>
          <w:szCs w:val="24"/>
          <w:highlight w:val="none"/>
          <w:lang w:val="en-US" w:eastAsia="zh-CN"/>
        </w:rPr>
        <w:t>五、成交通知</w:t>
      </w:r>
      <w:bookmarkEnd w:id="265"/>
      <w:bookmarkEnd w:id="266"/>
      <w:bookmarkEnd w:id="267"/>
    </w:p>
    <w:p w14:paraId="0E2A2CBA">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（一）成交供应商确定后，采购人或采购代理机构将在</w:t>
      </w:r>
      <w:r>
        <w:rPr>
          <w:rFonts w:hint="eastAsia" w:ascii="仿宋" w:hAnsi="仿宋" w:eastAsia="仿宋" w:cs="仿宋"/>
          <w:color w:val="auto"/>
          <w:kern w:val="0"/>
          <w:sz w:val="24"/>
          <w:szCs w:val="24"/>
          <w:highlight w:val="none"/>
          <w:lang w:eastAsia="zh-CN"/>
        </w:rPr>
        <w:t>行采家（https://www.gec123.com/）</w:t>
      </w:r>
      <w:r>
        <w:rPr>
          <w:rFonts w:hint="eastAsia" w:ascii="仿宋" w:hAnsi="仿宋" w:eastAsia="仿宋" w:cs="仿宋"/>
          <w:color w:val="auto"/>
          <w:kern w:val="0"/>
          <w:sz w:val="24"/>
          <w:szCs w:val="24"/>
          <w:highlight w:val="none"/>
        </w:rPr>
        <w:t>上发布成交结果公告。</w:t>
      </w:r>
    </w:p>
    <w:p w14:paraId="1F204516">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（二）结果公告发出同时，采购代理机构将以书面形式发出《成交通知书》。《成交通知书》一经发出即发生法律效力。</w:t>
      </w:r>
    </w:p>
    <w:p w14:paraId="7C38C6B1">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（三）《成交通知书》将作为签订合同的依据。</w:t>
      </w:r>
    </w:p>
    <w:p w14:paraId="2DAA14C7">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（四）如有供应商对成交结果提出质疑的，在质疑处理完毕后发出成交通知书。</w:t>
      </w:r>
    </w:p>
    <w:p w14:paraId="576D908D">
      <w:pPr>
        <w:pageBreakBefore w:val="0"/>
        <w:widowControl w:val="0"/>
        <w:shd w:val="clear" w:color="auto"/>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val="0"/>
          <w:color w:val="auto"/>
          <w:sz w:val="24"/>
          <w:szCs w:val="24"/>
          <w:highlight w:val="none"/>
          <w:lang w:val="en-US" w:eastAsia="zh-CN"/>
        </w:rPr>
      </w:pPr>
      <w:bookmarkStart w:id="268" w:name="_Toc934"/>
      <w:r>
        <w:rPr>
          <w:rFonts w:hint="eastAsia" w:ascii="仿宋" w:hAnsi="仿宋" w:eastAsia="仿宋" w:cs="仿宋"/>
          <w:b/>
          <w:bCs w:val="0"/>
          <w:color w:val="auto"/>
          <w:sz w:val="24"/>
          <w:szCs w:val="24"/>
          <w:highlight w:val="none"/>
          <w:lang w:val="en-US" w:eastAsia="zh-CN"/>
        </w:rPr>
        <w:t>六、采购代理服务费</w:t>
      </w:r>
      <w:bookmarkEnd w:id="268"/>
    </w:p>
    <w:p w14:paraId="4BBFB0E5">
      <w:pPr>
        <w:pageBreakBefore w:val="0"/>
        <w:shd w:val="clear"/>
        <w:kinsoku/>
        <w:topLinePunct w:val="0"/>
        <w:bidi w:val="0"/>
        <w:spacing w:line="360" w:lineRule="auto"/>
        <w:ind w:firstLine="480" w:firstLineChars="200"/>
        <w:rPr>
          <w:rFonts w:hint="eastAsia" w:ascii="仿宋" w:hAnsi="仿宋" w:eastAsia="仿宋" w:cs="仿宋"/>
          <w:color w:val="auto"/>
          <w:sz w:val="24"/>
          <w:szCs w:val="24"/>
          <w:highlight w:val="none"/>
        </w:rPr>
      </w:pPr>
      <w:bookmarkStart w:id="269" w:name="OLE_LINK7"/>
      <w:r>
        <w:rPr>
          <w:rFonts w:hint="eastAsia" w:ascii="仿宋" w:hAnsi="仿宋" w:eastAsia="仿宋" w:cs="仿宋"/>
          <w:color w:val="auto"/>
          <w:sz w:val="24"/>
          <w:szCs w:val="24"/>
          <w:highlight w:val="none"/>
          <w:lang w:val="en-US" w:eastAsia="zh-CN"/>
        </w:rPr>
        <w:t>成交供应商在</w:t>
      </w:r>
      <w:r>
        <w:rPr>
          <w:rFonts w:hint="eastAsia" w:ascii="仿宋" w:hAnsi="仿宋" w:eastAsia="仿宋" w:cs="仿宋"/>
          <w:color w:val="auto"/>
          <w:sz w:val="24"/>
          <w:szCs w:val="24"/>
          <w:highlight w:val="none"/>
        </w:rPr>
        <w:t>领取成交通知书</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一次性向</w:t>
      </w:r>
      <w:r>
        <w:rPr>
          <w:rFonts w:hint="eastAsia" w:ascii="仿宋" w:hAnsi="仿宋" w:eastAsia="仿宋" w:cs="仿宋"/>
          <w:color w:val="auto"/>
          <w:sz w:val="24"/>
          <w:szCs w:val="24"/>
          <w:highlight w:val="none"/>
        </w:rPr>
        <w:t>采购代理</w:t>
      </w:r>
      <w:r>
        <w:rPr>
          <w:rFonts w:hint="eastAsia" w:ascii="仿宋" w:hAnsi="仿宋" w:eastAsia="仿宋" w:cs="仿宋"/>
          <w:color w:val="auto"/>
          <w:sz w:val="24"/>
          <w:szCs w:val="24"/>
          <w:highlight w:val="none"/>
          <w:lang w:val="en-US" w:eastAsia="zh-CN"/>
        </w:rPr>
        <w:t>支付招标代理</w:t>
      </w:r>
      <w:r>
        <w:rPr>
          <w:rFonts w:hint="eastAsia" w:ascii="仿宋" w:hAnsi="仿宋" w:eastAsia="仿宋" w:cs="仿宋"/>
          <w:color w:val="auto"/>
          <w:sz w:val="24"/>
          <w:szCs w:val="24"/>
          <w:highlight w:val="none"/>
        </w:rPr>
        <w:t>服务费，</w:t>
      </w:r>
      <w:bookmarkEnd w:id="269"/>
      <w:r>
        <w:rPr>
          <w:rFonts w:hint="eastAsia" w:ascii="仿宋" w:hAnsi="仿宋" w:eastAsia="仿宋" w:cs="仿宋"/>
          <w:color w:val="auto"/>
          <w:sz w:val="24"/>
          <w:szCs w:val="24"/>
          <w:highlight w:val="none"/>
          <w:lang w:val="en-US" w:eastAsia="zh-CN"/>
        </w:rPr>
        <w:t>招标代理</w:t>
      </w:r>
      <w:r>
        <w:rPr>
          <w:rFonts w:hint="eastAsia" w:ascii="仿宋" w:hAnsi="仿宋" w:eastAsia="仿宋" w:cs="仿宋"/>
          <w:color w:val="auto"/>
          <w:sz w:val="24"/>
          <w:szCs w:val="24"/>
          <w:highlight w:val="none"/>
        </w:rPr>
        <w:t>服务费</w:t>
      </w:r>
      <w:r>
        <w:rPr>
          <w:rFonts w:hint="eastAsia" w:ascii="仿宋" w:hAnsi="仿宋" w:eastAsia="仿宋" w:cs="仿宋"/>
          <w:color w:val="auto"/>
          <w:sz w:val="24"/>
          <w:szCs w:val="24"/>
          <w:highlight w:val="none"/>
          <w:lang w:val="en-US" w:eastAsia="zh-CN"/>
        </w:rPr>
        <w:t>金额为8000.00元（大写：捌仟元整）。（人民币）</w:t>
      </w:r>
      <w:r>
        <w:rPr>
          <w:rFonts w:hint="eastAsia" w:ascii="仿宋" w:hAnsi="仿宋" w:eastAsia="仿宋" w:cs="仿宋"/>
          <w:color w:val="auto"/>
          <w:sz w:val="24"/>
          <w:szCs w:val="24"/>
          <w:highlight w:val="none"/>
        </w:rPr>
        <w:t>。</w:t>
      </w:r>
    </w:p>
    <w:p w14:paraId="294F5B88">
      <w:pPr>
        <w:pageBreakBefore w:val="0"/>
        <w:widowControl w:val="0"/>
        <w:shd w:val="clear" w:color="auto"/>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val="0"/>
          <w:color w:val="auto"/>
          <w:sz w:val="24"/>
          <w:szCs w:val="24"/>
          <w:highlight w:val="none"/>
          <w:lang w:val="en-US" w:eastAsia="zh-CN"/>
        </w:rPr>
      </w:pPr>
      <w:bookmarkStart w:id="270" w:name="_Toc102227322"/>
      <w:bookmarkStart w:id="271" w:name="_Toc342913396"/>
      <w:bookmarkStart w:id="272" w:name="_Toc28643"/>
      <w:r>
        <w:rPr>
          <w:rFonts w:hint="eastAsia" w:ascii="仿宋" w:hAnsi="仿宋" w:eastAsia="仿宋" w:cs="仿宋"/>
          <w:b/>
          <w:bCs w:val="0"/>
          <w:color w:val="auto"/>
          <w:sz w:val="24"/>
          <w:szCs w:val="24"/>
          <w:highlight w:val="none"/>
          <w:lang w:val="en-US" w:eastAsia="zh-CN"/>
        </w:rPr>
        <w:t>七、签订</w:t>
      </w:r>
      <w:bookmarkEnd w:id="270"/>
      <w:r>
        <w:rPr>
          <w:rFonts w:hint="eastAsia" w:ascii="仿宋" w:hAnsi="仿宋" w:eastAsia="仿宋" w:cs="仿宋"/>
          <w:b/>
          <w:bCs w:val="0"/>
          <w:color w:val="auto"/>
          <w:sz w:val="24"/>
          <w:szCs w:val="24"/>
          <w:highlight w:val="none"/>
          <w:lang w:val="en-US" w:eastAsia="zh-CN"/>
        </w:rPr>
        <w:t>合同</w:t>
      </w:r>
      <w:bookmarkEnd w:id="271"/>
      <w:bookmarkEnd w:id="272"/>
    </w:p>
    <w:p w14:paraId="0232D3B9">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（一）采购人应当自成交通知书发出之日起</w:t>
      </w:r>
      <w:r>
        <w:rPr>
          <w:rFonts w:hint="eastAsia" w:ascii="仿宋" w:hAnsi="仿宋" w:eastAsia="仿宋" w:cs="仿宋"/>
          <w:color w:val="auto"/>
          <w:kern w:val="0"/>
          <w:sz w:val="24"/>
          <w:szCs w:val="24"/>
          <w:highlight w:val="none"/>
          <w:lang w:val="en-US" w:eastAsia="zh-CN"/>
        </w:rPr>
        <w:t>三十个工作</w:t>
      </w:r>
      <w:r>
        <w:rPr>
          <w:rFonts w:hint="eastAsia" w:ascii="仿宋" w:hAnsi="仿宋" w:eastAsia="仿宋" w:cs="仿宋"/>
          <w:color w:val="auto"/>
          <w:kern w:val="0"/>
          <w:sz w:val="24"/>
          <w:szCs w:val="24"/>
          <w:highlight w:val="none"/>
        </w:rPr>
        <w:t>日内，按照网上竞采文件和成交供应商响应文件的约定，与成交供应商签订书面合同。所签订的合同不得对网上竞采文件和供应商的响应文件作实质性修改。</w:t>
      </w:r>
    </w:p>
    <w:p w14:paraId="57036D5E">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（二）网上竞采文件、供应商的响应文件及澄清文件等，均为签订采购合同的依据。</w:t>
      </w:r>
    </w:p>
    <w:p w14:paraId="50137A55">
      <w:pPr>
        <w:pageBreakBefore w:val="0"/>
        <w:shd w:val="clear" w:color="auto"/>
        <w:kinsoku/>
        <w:topLinePunct w:val="0"/>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（三）合同生效条款由供需双方约定，法律、行政法规规定应当办理批准、登记等手续后生效的合同，依照其规定。</w:t>
      </w:r>
    </w:p>
    <w:p w14:paraId="10644A05">
      <w:pPr>
        <w:pStyle w:val="34"/>
        <w:pageBreakBefore w:val="0"/>
        <w:shd w:val="clear" w:color="auto"/>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（四）合同原则上应按照《采购合同》签订，相关单位要求适用合同通用格式版本的，应按其要求另行签订其</w:t>
      </w:r>
      <w:r>
        <w:rPr>
          <w:rFonts w:hint="eastAsia" w:ascii="仿宋" w:hAnsi="仿宋" w:eastAsia="仿宋" w:cs="仿宋"/>
          <w:color w:val="auto"/>
          <w:sz w:val="24"/>
          <w:szCs w:val="24"/>
          <w:highlight w:val="none"/>
        </w:rPr>
        <w:t>他合同。</w:t>
      </w:r>
    </w:p>
    <w:bookmarkEnd w:id="252"/>
    <w:bookmarkEnd w:id="253"/>
    <w:p w14:paraId="53FBD166">
      <w:pPr>
        <w:pageBreakBefore w:val="0"/>
        <w:kinsoku/>
        <w:topLinePunct w:val="0"/>
        <w:bidi w:val="0"/>
        <w:spacing w:line="360" w:lineRule="auto"/>
        <w:rPr>
          <w:rFonts w:hint="eastAsia" w:ascii="仿宋" w:hAnsi="仿宋" w:eastAsia="仿宋" w:cs="仿宋"/>
          <w:color w:val="auto"/>
          <w:highlight w:val="none"/>
          <w:lang w:eastAsia="zh-CN"/>
        </w:rPr>
      </w:pP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14:paraId="25F7C4D2">
      <w:pPr>
        <w:pStyle w:val="4"/>
        <w:pageBreakBefore w:val="0"/>
        <w:numPr>
          <w:ilvl w:val="0"/>
          <w:numId w:val="17"/>
        </w:numPr>
        <w:kinsoku/>
        <w:topLinePunct w:val="0"/>
        <w:bidi w:val="0"/>
        <w:spacing w:line="360" w:lineRule="auto"/>
        <w:jc w:val="center"/>
        <w:rPr>
          <w:rStyle w:val="69"/>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rPr>
        <w:br w:type="page"/>
      </w:r>
      <w:bookmarkStart w:id="273" w:name="_Toc11175"/>
      <w:bookmarkStart w:id="274" w:name="_Toc7168"/>
      <w:bookmarkStart w:id="275" w:name="_Toc11820"/>
      <w:bookmarkStart w:id="276" w:name="_Toc14172"/>
      <w:bookmarkStart w:id="277" w:name="_Toc24031"/>
      <w:bookmarkStart w:id="278" w:name="_Toc11006"/>
      <w:bookmarkStart w:id="279" w:name="_Toc532"/>
      <w:bookmarkStart w:id="280" w:name="_Toc6201"/>
      <w:bookmarkStart w:id="281" w:name="_Toc10958"/>
      <w:bookmarkStart w:id="282" w:name="_Toc3208"/>
      <w:bookmarkStart w:id="283" w:name="_Toc285722713"/>
      <w:bookmarkStart w:id="284" w:name="_Toc75793538"/>
      <w:bookmarkStart w:id="285" w:name="_Toc1900"/>
      <w:bookmarkStart w:id="286" w:name="_Toc14438"/>
      <w:bookmarkStart w:id="287" w:name="_Toc277084871"/>
      <w:bookmarkStart w:id="288" w:name="_Toc4623"/>
      <w:bookmarkStart w:id="289" w:name="_Toc6684"/>
      <w:bookmarkStart w:id="290" w:name="_Toc10851"/>
      <w:bookmarkStart w:id="291" w:name="_Toc13103"/>
      <w:r>
        <w:rPr>
          <w:rStyle w:val="69"/>
          <w:rFonts w:hint="eastAsia" w:ascii="仿宋" w:hAnsi="仿宋" w:eastAsia="仿宋" w:cs="仿宋"/>
          <w:color w:val="auto"/>
          <w:highlight w:val="none"/>
          <w:lang w:val="en-US" w:eastAsia="zh-CN"/>
        </w:rPr>
        <w:t>合同条款及格式</w:t>
      </w:r>
      <w:bookmarkEnd w:id="273"/>
      <w:bookmarkEnd w:id="274"/>
    </w:p>
    <w:p w14:paraId="716C3734">
      <w:pPr>
        <w:pageBreakBefore w:val="0"/>
        <w:kinsoku/>
        <w:topLinePunct w:val="0"/>
        <w:bidi w:val="0"/>
        <w:spacing w:line="360" w:lineRule="auto"/>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（采购人与成交供应商根据双方协商后自行编写采购合同，但不得违背采购文件的实质性要求）</w:t>
      </w:r>
    </w:p>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14:paraId="27BEF296">
      <w:pPr>
        <w:pageBreakBefore w:val="0"/>
        <w:kinsoku/>
        <w:topLinePunct w:val="0"/>
        <w:bidi w:val="0"/>
        <w:spacing w:line="360" w:lineRule="auto"/>
        <w:ind w:firstLine="480" w:firstLineChars="200"/>
        <w:rPr>
          <w:rFonts w:hint="eastAsia" w:ascii="仿宋" w:hAnsi="仿宋" w:eastAsia="仿宋" w:cs="仿宋"/>
          <w:color w:val="auto"/>
          <w:kern w:val="2"/>
          <w:sz w:val="24"/>
          <w:highlight w:val="none"/>
          <w:lang w:val="en-US" w:eastAsia="zh-CN" w:bidi="ar-SA"/>
        </w:rPr>
      </w:pPr>
    </w:p>
    <w:p w14:paraId="594F2033">
      <w:pPr>
        <w:pStyle w:val="3"/>
        <w:keepLines/>
        <w:pageBreakBefore w:val="0"/>
        <w:kinsoku/>
        <w:topLinePunct w:val="0"/>
        <w:bidi w:val="0"/>
        <w:snapToGrid/>
        <w:spacing w:line="360" w:lineRule="auto"/>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8"/>
          <w:szCs w:val="28"/>
          <w:highlight w:val="none"/>
        </w:rPr>
        <w:br w:type="page"/>
      </w:r>
      <w:bookmarkStart w:id="292" w:name="_Toc19519"/>
      <w:bookmarkStart w:id="293" w:name="_Toc75793539"/>
      <w:bookmarkStart w:id="294" w:name="_Toc8818"/>
      <w:bookmarkStart w:id="295" w:name="_Toc14325"/>
      <w:bookmarkStart w:id="296" w:name="_Toc31517"/>
      <w:bookmarkStart w:id="297" w:name="_Toc16203"/>
      <w:bookmarkStart w:id="298" w:name="_Toc8114"/>
      <w:bookmarkStart w:id="299" w:name="_Toc12863"/>
      <w:bookmarkStart w:id="300" w:name="_Toc14019"/>
      <w:bookmarkStart w:id="301" w:name="_Toc12202"/>
      <w:bookmarkStart w:id="302" w:name="_Toc9843"/>
      <w:bookmarkStart w:id="303" w:name="_Toc25727"/>
      <w:bookmarkStart w:id="304" w:name="_Toc22748"/>
      <w:bookmarkStart w:id="305" w:name="_Toc6992"/>
      <w:bookmarkStart w:id="306" w:name="_Toc8132"/>
      <w:bookmarkStart w:id="307" w:name="_Toc25922"/>
      <w:r>
        <w:rPr>
          <w:rStyle w:val="69"/>
          <w:rFonts w:hint="eastAsia" w:ascii="仿宋" w:hAnsi="仿宋" w:eastAsia="仿宋" w:cs="仿宋"/>
          <w:b/>
          <w:color w:val="auto"/>
          <w:kern w:val="2"/>
          <w:highlight w:val="none"/>
          <w:lang w:val="en-US" w:eastAsia="zh-CN" w:bidi="ar-SA"/>
        </w:rPr>
        <w:t xml:space="preserve">第七篇  </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rStyle w:val="69"/>
          <w:rFonts w:hint="eastAsia" w:ascii="仿宋" w:hAnsi="仿宋" w:eastAsia="仿宋" w:cs="仿宋"/>
          <w:b/>
          <w:color w:val="auto"/>
          <w:kern w:val="2"/>
          <w:highlight w:val="none"/>
          <w:lang w:val="en-US" w:eastAsia="zh-CN" w:bidi="ar-SA"/>
        </w:rPr>
        <w:t>响应文件格式要求</w:t>
      </w:r>
      <w:bookmarkEnd w:id="307"/>
    </w:p>
    <w:p w14:paraId="77C3B87A">
      <w:pPr>
        <w:pageBreakBefore w:val="0"/>
        <w:kinsoku/>
        <w:topLinePunct w:val="0"/>
        <w:bidi w:val="0"/>
        <w:spacing w:line="360" w:lineRule="auto"/>
        <w:rPr>
          <w:rFonts w:hint="eastAsia" w:ascii="仿宋" w:hAnsi="仿宋" w:eastAsia="仿宋" w:cs="仿宋"/>
          <w:color w:val="auto"/>
          <w:highlight w:val="none"/>
        </w:rPr>
      </w:pPr>
      <w:bookmarkStart w:id="308" w:name="_Toc26171"/>
      <w:bookmarkStart w:id="309" w:name="_Toc480979018"/>
      <w:bookmarkStart w:id="310" w:name="_Toc283382454"/>
      <w:bookmarkStart w:id="311" w:name="_Toc12789073"/>
      <w:bookmarkStart w:id="312" w:name="_Toc342913419"/>
      <w:bookmarkStart w:id="313" w:name="_Toc313888360"/>
      <w:bookmarkStart w:id="314" w:name="_Toc313008356"/>
      <w:bookmarkStart w:id="315" w:name="_Toc485108796"/>
    </w:p>
    <w:p w14:paraId="7A4CFB1D">
      <w:pPr>
        <w:pageBreakBefore w:val="0"/>
        <w:kinsoku/>
        <w:topLinePunct w:val="0"/>
        <w:bidi w:val="0"/>
        <w:spacing w:line="360" w:lineRule="auto"/>
        <w:rPr>
          <w:rFonts w:hint="eastAsia" w:ascii="仿宋" w:hAnsi="仿宋" w:eastAsia="仿宋" w:cs="仿宋"/>
          <w:color w:val="auto"/>
          <w:highlight w:val="none"/>
        </w:rPr>
      </w:pPr>
    </w:p>
    <w:p w14:paraId="212772F9">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316" w:name="_Toc22301"/>
      <w:bookmarkStart w:id="317" w:name="_Toc102726962"/>
      <w:bookmarkStart w:id="318" w:name="_Toc4721"/>
      <w:bookmarkStart w:id="319" w:name="_Toc110444024"/>
      <w:bookmarkStart w:id="320" w:name="_Toc106034808"/>
      <w:bookmarkStart w:id="321" w:name="_Toc14244"/>
      <w:bookmarkStart w:id="322" w:name="_Toc26343"/>
      <w:bookmarkStart w:id="323" w:name="_Toc30982"/>
      <w:bookmarkStart w:id="324" w:name="_Toc65660379"/>
      <w:bookmarkStart w:id="325" w:name="_Toc7624"/>
    </w:p>
    <w:p w14:paraId="0D72F501">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color w:val="auto"/>
          <w:highlight w:val="none"/>
        </w:rPr>
      </w:pPr>
    </w:p>
    <w:p w14:paraId="63A48DA5">
      <w:pPr>
        <w:keepNext w:val="0"/>
        <w:keepLines w:val="0"/>
        <w:pageBreakBefore w:val="0"/>
        <w:kinsoku/>
        <w:wordWrap/>
        <w:topLinePunct w:val="0"/>
        <w:bidi w:val="0"/>
        <w:snapToGrid/>
        <w:spacing w:line="360" w:lineRule="auto"/>
        <w:ind w:firstLine="0" w:firstLineChars="0"/>
        <w:jc w:val="center"/>
        <w:textAlignment w:val="auto"/>
        <w:rPr>
          <w:rStyle w:val="62"/>
          <w:rFonts w:hint="eastAsia" w:ascii="仿宋" w:hAnsi="仿宋" w:eastAsia="仿宋" w:cs="仿宋"/>
          <w:b/>
          <w:bCs w:val="0"/>
          <w:sz w:val="28"/>
          <w:szCs w:val="28"/>
        </w:rPr>
      </w:pPr>
      <w:r>
        <w:rPr>
          <w:rStyle w:val="62"/>
          <w:rFonts w:hint="eastAsia" w:ascii="仿宋" w:hAnsi="仿宋" w:eastAsia="仿宋" w:cs="仿宋"/>
          <w:b/>
          <w:bCs w:val="0"/>
          <w:sz w:val="44"/>
          <w:szCs w:val="44"/>
        </w:rPr>
        <w:t>项目名称：</w:t>
      </w:r>
    </w:p>
    <w:p w14:paraId="40DBB334">
      <w:pPr>
        <w:keepNext w:val="0"/>
        <w:keepLines w:val="0"/>
        <w:pageBreakBefore w:val="0"/>
        <w:kinsoku/>
        <w:wordWrap/>
        <w:topLinePunct w:val="0"/>
        <w:bidi w:val="0"/>
        <w:snapToGrid/>
        <w:spacing w:line="360" w:lineRule="auto"/>
        <w:ind w:firstLine="0" w:firstLineChars="0"/>
        <w:jc w:val="center"/>
        <w:textAlignment w:val="auto"/>
        <w:rPr>
          <w:rStyle w:val="62"/>
          <w:rFonts w:hint="eastAsia" w:ascii="仿宋" w:hAnsi="仿宋" w:eastAsia="仿宋" w:cs="仿宋"/>
          <w:b/>
          <w:bCs w:val="0"/>
          <w:sz w:val="28"/>
          <w:szCs w:val="28"/>
          <w:u w:val="single"/>
        </w:rPr>
      </w:pPr>
    </w:p>
    <w:p w14:paraId="25C5E507">
      <w:pPr>
        <w:keepNext w:val="0"/>
        <w:keepLines w:val="0"/>
        <w:pageBreakBefore w:val="0"/>
        <w:kinsoku/>
        <w:wordWrap/>
        <w:topLinePunct w:val="0"/>
        <w:bidi w:val="0"/>
        <w:snapToGrid/>
        <w:spacing w:line="360" w:lineRule="auto"/>
        <w:ind w:firstLine="0" w:firstLineChars="0"/>
        <w:jc w:val="center"/>
        <w:textAlignment w:val="auto"/>
        <w:rPr>
          <w:rStyle w:val="62"/>
          <w:rFonts w:hint="eastAsia" w:ascii="仿宋" w:hAnsi="仿宋" w:eastAsia="仿宋" w:cs="仿宋"/>
          <w:b/>
          <w:bCs w:val="0"/>
          <w:sz w:val="28"/>
          <w:szCs w:val="28"/>
        </w:rPr>
      </w:pPr>
    </w:p>
    <w:p w14:paraId="061708B3">
      <w:pPr>
        <w:pStyle w:val="222"/>
        <w:keepNext w:val="0"/>
        <w:keepLines w:val="0"/>
        <w:pageBreakBefore w:val="0"/>
        <w:kinsoku/>
        <w:wordWrap/>
        <w:topLinePunct w:val="0"/>
        <w:bidi w:val="0"/>
        <w:snapToGrid/>
        <w:spacing w:before="0" w:after="0" w:line="360" w:lineRule="auto"/>
        <w:ind w:firstLine="0" w:firstLineChars="0"/>
        <w:jc w:val="center"/>
        <w:textAlignment w:val="auto"/>
        <w:rPr>
          <w:rFonts w:hint="eastAsia" w:ascii="仿宋" w:hAnsi="仿宋" w:eastAsia="仿宋" w:cs="仿宋"/>
          <w:b/>
          <w:bCs w:val="0"/>
          <w:sz w:val="28"/>
          <w:szCs w:val="28"/>
        </w:rPr>
      </w:pPr>
    </w:p>
    <w:p w14:paraId="4EC4BA00">
      <w:pPr>
        <w:pStyle w:val="222"/>
        <w:keepNext w:val="0"/>
        <w:keepLines w:val="0"/>
        <w:pageBreakBefore w:val="0"/>
        <w:kinsoku/>
        <w:wordWrap/>
        <w:topLinePunct w:val="0"/>
        <w:bidi w:val="0"/>
        <w:snapToGrid/>
        <w:spacing w:before="0" w:after="0" w:line="360" w:lineRule="auto"/>
        <w:ind w:firstLine="0" w:firstLineChars="0"/>
        <w:jc w:val="center"/>
        <w:textAlignment w:val="auto"/>
        <w:rPr>
          <w:rFonts w:hint="eastAsia" w:ascii="仿宋" w:hAnsi="仿宋" w:eastAsia="仿宋" w:cs="仿宋"/>
          <w:b/>
          <w:bCs w:val="0"/>
          <w:sz w:val="28"/>
          <w:szCs w:val="28"/>
        </w:rPr>
      </w:pPr>
    </w:p>
    <w:p w14:paraId="4F415822">
      <w:pPr>
        <w:pStyle w:val="222"/>
        <w:keepNext w:val="0"/>
        <w:keepLines w:val="0"/>
        <w:pageBreakBefore w:val="0"/>
        <w:kinsoku/>
        <w:wordWrap/>
        <w:topLinePunct w:val="0"/>
        <w:bidi w:val="0"/>
        <w:snapToGrid/>
        <w:spacing w:before="0" w:after="0" w:line="360" w:lineRule="auto"/>
        <w:ind w:firstLine="0" w:firstLineChars="0"/>
        <w:jc w:val="center"/>
        <w:textAlignment w:val="auto"/>
        <w:rPr>
          <w:rFonts w:hint="eastAsia" w:ascii="仿宋" w:hAnsi="仿宋" w:eastAsia="仿宋" w:cs="仿宋"/>
          <w:b/>
          <w:bCs w:val="0"/>
          <w:sz w:val="28"/>
          <w:szCs w:val="28"/>
        </w:rPr>
      </w:pPr>
    </w:p>
    <w:p w14:paraId="3C19B98A">
      <w:pPr>
        <w:pStyle w:val="222"/>
        <w:keepNext w:val="0"/>
        <w:keepLines w:val="0"/>
        <w:pageBreakBefore w:val="0"/>
        <w:kinsoku/>
        <w:wordWrap/>
        <w:topLinePunct w:val="0"/>
        <w:bidi w:val="0"/>
        <w:snapToGrid/>
        <w:spacing w:before="0" w:after="0" w:line="360" w:lineRule="auto"/>
        <w:ind w:firstLine="0" w:firstLineChars="0"/>
        <w:jc w:val="center"/>
        <w:textAlignment w:val="auto"/>
        <w:rPr>
          <w:rFonts w:hint="eastAsia" w:ascii="仿宋" w:hAnsi="仿宋" w:eastAsia="仿宋" w:cs="仿宋"/>
          <w:b/>
          <w:bCs w:val="0"/>
          <w:sz w:val="28"/>
          <w:szCs w:val="28"/>
        </w:rPr>
      </w:pPr>
    </w:p>
    <w:p w14:paraId="477212E1">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52"/>
          <w:szCs w:val="52"/>
        </w:rPr>
      </w:pPr>
      <w:r>
        <w:rPr>
          <w:rStyle w:val="62"/>
          <w:rFonts w:hint="eastAsia" w:ascii="仿宋" w:hAnsi="仿宋" w:eastAsia="仿宋" w:cs="仿宋"/>
          <w:b/>
          <w:bCs w:val="0"/>
          <w:sz w:val="52"/>
          <w:szCs w:val="52"/>
        </w:rPr>
        <w:t>响 应 文 件</w:t>
      </w:r>
    </w:p>
    <w:p w14:paraId="5DBCB827">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（正本/副本）</w:t>
      </w:r>
    </w:p>
    <w:p w14:paraId="4418233E">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28"/>
          <w:szCs w:val="28"/>
        </w:rPr>
      </w:pPr>
    </w:p>
    <w:p w14:paraId="1149CA61">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28"/>
          <w:szCs w:val="28"/>
        </w:rPr>
      </w:pPr>
    </w:p>
    <w:p w14:paraId="5DB25E3E">
      <w:pPr>
        <w:pStyle w:val="231"/>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color w:val="auto"/>
          <w:sz w:val="28"/>
          <w:szCs w:val="28"/>
        </w:rPr>
      </w:pPr>
    </w:p>
    <w:p w14:paraId="789AC19D">
      <w:pPr>
        <w:pStyle w:val="231"/>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color w:val="auto"/>
          <w:sz w:val="28"/>
          <w:szCs w:val="28"/>
        </w:rPr>
      </w:pPr>
    </w:p>
    <w:p w14:paraId="1B661DAC">
      <w:pPr>
        <w:pStyle w:val="231"/>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color w:val="auto"/>
          <w:sz w:val="28"/>
          <w:szCs w:val="28"/>
        </w:rPr>
      </w:pPr>
    </w:p>
    <w:p w14:paraId="42F37AEE">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28"/>
          <w:szCs w:val="28"/>
        </w:rPr>
      </w:pPr>
    </w:p>
    <w:p w14:paraId="1E9468D0">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28"/>
          <w:szCs w:val="28"/>
        </w:rPr>
      </w:pPr>
    </w:p>
    <w:p w14:paraId="78E4E37C">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28"/>
          <w:szCs w:val="28"/>
        </w:rPr>
      </w:pPr>
    </w:p>
    <w:p w14:paraId="58F27989">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供应商名称：</w:t>
      </w:r>
      <w:r>
        <w:rPr>
          <w:rFonts w:hint="eastAsia" w:ascii="仿宋" w:hAnsi="仿宋" w:eastAsia="仿宋" w:cs="仿宋"/>
          <w:b/>
          <w:bCs w:val="0"/>
          <w:sz w:val="28"/>
          <w:szCs w:val="28"/>
          <w:u w:val="single"/>
        </w:rPr>
        <w:t xml:space="preserve">                       </w:t>
      </w:r>
      <w:r>
        <w:rPr>
          <w:rFonts w:hint="eastAsia" w:ascii="仿宋" w:hAnsi="仿宋" w:eastAsia="仿宋" w:cs="仿宋"/>
          <w:b/>
          <w:bCs w:val="0"/>
          <w:sz w:val="28"/>
          <w:szCs w:val="28"/>
        </w:rPr>
        <w:t>(盖单位法人章)</w:t>
      </w:r>
    </w:p>
    <w:p w14:paraId="7037F1A4">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法定代表人或其委托代理人：</w:t>
      </w:r>
      <w:r>
        <w:rPr>
          <w:rFonts w:hint="eastAsia" w:ascii="仿宋" w:hAnsi="仿宋" w:eastAsia="仿宋" w:cs="仿宋"/>
          <w:b/>
          <w:bCs w:val="0"/>
          <w:sz w:val="28"/>
          <w:szCs w:val="28"/>
          <w:u w:val="single"/>
        </w:rPr>
        <w:t xml:space="preserve">    </w:t>
      </w:r>
      <w:r>
        <w:rPr>
          <w:rFonts w:hint="eastAsia" w:ascii="仿宋" w:hAnsi="仿宋" w:eastAsia="仿宋" w:cs="仿宋"/>
          <w:b/>
          <w:bCs w:val="0"/>
          <w:sz w:val="28"/>
          <w:szCs w:val="28"/>
          <w:u w:val="single"/>
          <w:lang w:val="en-US" w:eastAsia="zh-CN"/>
        </w:rPr>
        <w:t xml:space="preserve">        </w:t>
      </w:r>
      <w:r>
        <w:rPr>
          <w:rFonts w:hint="eastAsia" w:ascii="仿宋" w:hAnsi="仿宋" w:eastAsia="仿宋" w:cs="仿宋"/>
          <w:b/>
          <w:bCs w:val="0"/>
          <w:sz w:val="28"/>
          <w:szCs w:val="28"/>
          <w:u w:val="single"/>
        </w:rPr>
        <w:t xml:space="preserve">     </w:t>
      </w:r>
      <w:r>
        <w:rPr>
          <w:rFonts w:hint="eastAsia" w:ascii="仿宋" w:hAnsi="仿宋" w:eastAsia="仿宋" w:cs="仿宋"/>
          <w:b/>
          <w:bCs w:val="0"/>
          <w:sz w:val="28"/>
          <w:szCs w:val="28"/>
        </w:rPr>
        <w:t>(签字)</w:t>
      </w:r>
    </w:p>
    <w:p w14:paraId="1A2C7162">
      <w:pPr>
        <w:keepNext w:val="0"/>
        <w:keepLines w:val="0"/>
        <w:pageBreakBefore w:val="0"/>
        <w:kinsoku/>
        <w:wordWrap/>
        <w:topLinePunct w:val="0"/>
        <w:bidi w:val="0"/>
        <w:snapToGrid/>
        <w:spacing w:line="360" w:lineRule="auto"/>
        <w:ind w:firstLine="0" w:firstLineChars="0"/>
        <w:jc w:val="center"/>
        <w:textAlignment w:val="auto"/>
        <w:rPr>
          <w:rFonts w:hint="eastAsia" w:ascii="仿宋" w:hAnsi="仿宋" w:eastAsia="仿宋" w:cs="仿宋"/>
          <w:b/>
          <w:bCs w:val="0"/>
          <w:sz w:val="28"/>
          <w:szCs w:val="28"/>
        </w:rPr>
        <w:sectPr>
          <w:type w:val="nextColumn"/>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b/>
          <w:bCs w:val="0"/>
          <w:sz w:val="28"/>
          <w:szCs w:val="28"/>
          <w:u w:val="single"/>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u w:val="single"/>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u w:val="single"/>
        </w:rPr>
        <w:t xml:space="preserve">    </w:t>
      </w:r>
      <w:r>
        <w:rPr>
          <w:rFonts w:hint="eastAsia" w:ascii="仿宋" w:hAnsi="仿宋" w:eastAsia="仿宋" w:cs="仿宋"/>
          <w:b/>
          <w:bCs w:val="0"/>
          <w:sz w:val="28"/>
          <w:szCs w:val="28"/>
        </w:rPr>
        <w:t>日</w:t>
      </w:r>
    </w:p>
    <w:p w14:paraId="6FCE4FF5">
      <w:pPr>
        <w:pageBreakBefore w:val="0"/>
        <w:kinsoku/>
        <w:topLinePunct w:val="0"/>
        <w:bidi w:val="0"/>
        <w:spacing w:line="360" w:lineRule="auto"/>
        <w:ind w:firstLine="480"/>
        <w:jc w:val="center"/>
        <w:rPr>
          <w:rFonts w:hint="eastAsia" w:ascii="仿宋" w:hAnsi="仿宋" w:eastAsia="仿宋" w:cs="仿宋"/>
          <w:sz w:val="28"/>
          <w:szCs w:val="28"/>
          <w:lang w:eastAsia="zh-CN"/>
        </w:rPr>
      </w:pPr>
      <w:r>
        <w:rPr>
          <w:rFonts w:hint="eastAsia" w:ascii="仿宋" w:hAnsi="仿宋" w:eastAsia="仿宋" w:cs="仿宋"/>
          <w:sz w:val="32"/>
          <w:szCs w:val="32"/>
          <w:lang w:eastAsia="zh-CN"/>
        </w:rPr>
        <w:t>目录</w:t>
      </w:r>
    </w:p>
    <w:p w14:paraId="2C25127E">
      <w:pPr>
        <w:pageBreakBefore w:val="0"/>
        <w:kinsoku/>
        <w:topLinePunct w:val="0"/>
        <w:bidi w:val="0"/>
        <w:spacing w:line="360" w:lineRule="auto"/>
        <w:ind w:firstLine="480"/>
        <w:jc w:val="center"/>
        <w:rPr>
          <w:rFonts w:hint="eastAsia" w:ascii="仿宋" w:hAnsi="仿宋" w:eastAsia="仿宋" w:cs="仿宋"/>
          <w:sz w:val="28"/>
          <w:szCs w:val="28"/>
          <w:lang w:eastAsia="zh-CN"/>
        </w:rPr>
        <w:sectPr>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sz w:val="28"/>
          <w:szCs w:val="28"/>
          <w:lang w:eastAsia="zh-CN"/>
        </w:rPr>
        <w:t>（格式自拟）</w:t>
      </w:r>
    </w:p>
    <w:bookmarkEnd w:id="316"/>
    <w:bookmarkEnd w:id="317"/>
    <w:p w14:paraId="40BF45FA">
      <w:pPr>
        <w:pStyle w:val="4"/>
        <w:pageBreakBefore w:val="0"/>
        <w:kinsoku/>
        <w:topLinePunct w:val="0"/>
        <w:bidi w:val="0"/>
        <w:adjustRightInd w:val="0"/>
        <w:snapToGrid w:val="0"/>
        <w:spacing w:before="0" w:after="0" w:line="360" w:lineRule="auto"/>
        <w:outlineLvl w:val="0"/>
        <w:rPr>
          <w:rFonts w:hint="eastAsia" w:ascii="仿宋" w:hAnsi="仿宋" w:eastAsia="仿宋" w:cs="仿宋"/>
          <w:lang w:val="en-US" w:eastAsia="zh-CN"/>
        </w:rPr>
      </w:pPr>
      <w:bookmarkStart w:id="326" w:name="_Toc17708"/>
      <w:r>
        <w:rPr>
          <w:rStyle w:val="232"/>
          <w:rFonts w:hint="eastAsia"/>
          <w:sz w:val="28"/>
          <w:szCs w:val="28"/>
          <w:lang w:val="en-US" w:eastAsia="zh-CN"/>
        </w:rPr>
        <w:t>一、经济部分</w:t>
      </w:r>
      <w:bookmarkEnd w:id="318"/>
      <w:bookmarkEnd w:id="319"/>
      <w:bookmarkEnd w:id="320"/>
      <w:bookmarkEnd w:id="321"/>
      <w:bookmarkEnd w:id="322"/>
      <w:bookmarkEnd w:id="323"/>
      <w:bookmarkEnd w:id="324"/>
      <w:bookmarkEnd w:id="325"/>
      <w:bookmarkEnd w:id="326"/>
    </w:p>
    <w:p w14:paraId="26625387">
      <w:pPr>
        <w:pageBreakBefore w:val="0"/>
        <w:kinsoku/>
        <w:topLinePunct w:val="0"/>
        <w:bidi w:val="0"/>
        <w:spacing w:line="360" w:lineRule="auto"/>
        <w:ind w:firstLine="480" w:firstLineChars="200"/>
        <w:outlineLvl w:val="1"/>
        <w:rPr>
          <w:rFonts w:hint="eastAsia" w:ascii="仿宋" w:hAnsi="仿宋" w:eastAsia="仿宋" w:cs="仿宋"/>
          <w:color w:val="auto"/>
          <w:kern w:val="2"/>
          <w:sz w:val="24"/>
          <w:highlight w:val="none"/>
          <w:lang w:val="en-US" w:eastAsia="zh-CN" w:bidi="ar-SA"/>
        </w:rPr>
      </w:pPr>
      <w:bookmarkStart w:id="327" w:name="_Toc24389"/>
      <w:bookmarkStart w:id="328" w:name="_Toc110444025"/>
      <w:bookmarkStart w:id="329" w:name="_Toc29149"/>
      <w:r>
        <w:rPr>
          <w:rFonts w:hint="eastAsia" w:ascii="仿宋" w:hAnsi="仿宋" w:eastAsia="仿宋" w:cs="仿宋"/>
          <w:color w:val="auto"/>
          <w:kern w:val="2"/>
          <w:sz w:val="24"/>
          <w:highlight w:val="none"/>
          <w:lang w:val="en-US" w:eastAsia="zh-CN" w:bidi="ar-SA"/>
        </w:rPr>
        <w:t>（一）报价函</w:t>
      </w:r>
      <w:bookmarkEnd w:id="327"/>
      <w:bookmarkEnd w:id="328"/>
      <w:bookmarkEnd w:id="329"/>
    </w:p>
    <w:p w14:paraId="617FE3F9">
      <w:pPr>
        <w:pageBreakBefore w:val="0"/>
        <w:tabs>
          <w:tab w:val="left" w:pos="6300"/>
        </w:tabs>
        <w:kinsoku/>
        <w:topLinePunct w:val="0"/>
        <w:bidi w:val="0"/>
        <w:snapToGrid w:val="0"/>
        <w:spacing w:line="360" w:lineRule="auto"/>
        <w:ind w:firstLine="480" w:firstLineChars="200"/>
        <w:jc w:val="center"/>
        <w:rPr>
          <w:rFonts w:hint="eastAsia" w:ascii="仿宋" w:hAnsi="仿宋" w:eastAsia="仿宋" w:cs="仿宋"/>
          <w:color w:val="auto"/>
          <w:kern w:val="2"/>
          <w:sz w:val="24"/>
          <w:highlight w:val="none"/>
          <w:lang w:val="en-US" w:eastAsia="zh-CN" w:bidi="ar-SA"/>
        </w:rPr>
      </w:pPr>
    </w:p>
    <w:p w14:paraId="17C4A647">
      <w:pPr>
        <w:pageBreakBefore w:val="0"/>
        <w:tabs>
          <w:tab w:val="left" w:pos="6300"/>
        </w:tabs>
        <w:kinsoku/>
        <w:topLinePunct w:val="0"/>
        <w:bidi w:val="0"/>
        <w:snapToGrid w:val="0"/>
        <w:spacing w:line="360" w:lineRule="auto"/>
        <w:ind w:firstLine="480" w:firstLineChars="20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报价函</w:t>
      </w:r>
    </w:p>
    <w:p w14:paraId="6F1DC870">
      <w:pPr>
        <w:pageBreakBefore w:val="0"/>
        <w:tabs>
          <w:tab w:val="left" w:pos="6300"/>
        </w:tabs>
        <w:kinsoku/>
        <w:topLinePunct w:val="0"/>
        <w:bidi w:val="0"/>
        <w:snapToGrid w:val="0"/>
        <w:spacing w:line="360" w:lineRule="auto"/>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（采购人名称）：</w:t>
      </w:r>
    </w:p>
    <w:p w14:paraId="052ED682">
      <w:pPr>
        <w:pStyle w:val="2"/>
        <w:pageBreakBefore w:val="0"/>
        <w:kinsoku/>
        <w:topLinePunct w:val="0"/>
        <w:bidi w:val="0"/>
        <w:spacing w:line="360" w:lineRule="auto"/>
        <w:rPr>
          <w:rFonts w:hint="eastAsia" w:ascii="仿宋" w:hAnsi="仿宋" w:eastAsia="仿宋" w:cs="仿宋"/>
          <w:color w:val="auto"/>
          <w:kern w:val="2"/>
          <w:sz w:val="24"/>
          <w:highlight w:val="none"/>
          <w:lang w:val="en-US" w:eastAsia="zh-CN" w:bidi="ar-SA"/>
        </w:rPr>
      </w:pPr>
    </w:p>
    <w:p w14:paraId="0CD48AE9">
      <w:pPr>
        <w:pageBreakBefore w:val="0"/>
        <w:tabs>
          <w:tab w:val="left" w:pos="6300"/>
        </w:tabs>
        <w:kinsoku/>
        <w:topLinePunct w:val="0"/>
        <w:bidi w:val="0"/>
        <w:snapToGrid w:val="0"/>
        <w:spacing w:line="360" w:lineRule="auto"/>
        <w:ind w:left="238" w:leftChars="85" w:firstLine="240" w:firstLineChars="100"/>
        <w:rPr>
          <w:rFonts w:hint="eastAsia" w:ascii="仿宋" w:hAnsi="仿宋" w:eastAsia="仿宋" w:cs="仿宋"/>
          <w:kern w:val="2"/>
          <w:sz w:val="24"/>
          <w:highlight w:val="none"/>
          <w:lang w:val="en-US" w:eastAsia="zh-CN" w:bidi="ar-SA"/>
        </w:rPr>
      </w:pPr>
      <w:r>
        <w:rPr>
          <w:rFonts w:hint="eastAsia" w:ascii="仿宋" w:hAnsi="仿宋" w:eastAsia="仿宋" w:cs="仿宋"/>
          <w:kern w:val="2"/>
          <w:sz w:val="24"/>
          <w:highlight w:val="none"/>
          <w:lang w:val="en-US" w:eastAsia="zh-CN" w:bidi="ar-SA"/>
        </w:rPr>
        <w:t>我方收到____________________________（项目名称）的竞争性比选文件，经详细研究，决定参加该项目的报价。</w:t>
      </w:r>
    </w:p>
    <w:p w14:paraId="245524AD">
      <w:pPr>
        <w:pageBreakBefore w:val="0"/>
        <w:numPr>
          <w:ilvl w:val="0"/>
          <w:numId w:val="18"/>
        </w:numPr>
        <w:tabs>
          <w:tab w:val="left" w:pos="6300"/>
        </w:tabs>
        <w:kinsoku/>
        <w:topLinePunct w:val="0"/>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愿意按照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文件中的一切要求，提供本项目的</w:t>
      </w:r>
      <w:r>
        <w:rPr>
          <w:rFonts w:hint="eastAsia" w:ascii="仿宋" w:hAnsi="仿宋" w:eastAsia="仿宋" w:cs="仿宋"/>
          <w:color w:val="auto"/>
          <w:sz w:val="24"/>
          <w:szCs w:val="24"/>
          <w:highlight w:val="none"/>
          <w:lang w:val="en-US" w:eastAsia="zh-CN"/>
        </w:rPr>
        <w:t>包括并不限于的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服务，报价为人民币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sz w:val="24"/>
          <w:szCs w:val="24"/>
          <w:highlight w:val="none"/>
          <w:lang w:eastAsia="zh-CN"/>
        </w:rPr>
        <w:t>该工程的</w:t>
      </w:r>
      <w:r>
        <w:rPr>
          <w:rFonts w:hint="eastAsia" w:ascii="仿宋" w:hAnsi="仿宋" w:eastAsia="仿宋" w:cs="仿宋"/>
          <w:color w:val="000000"/>
          <w:sz w:val="24"/>
          <w:szCs w:val="24"/>
          <w:highlight w:val="none"/>
          <w:lang w:val="en-US" w:eastAsia="zh-CN"/>
        </w:rPr>
        <w:t>项目经理</w:t>
      </w:r>
      <w:r>
        <w:rPr>
          <w:rFonts w:hint="eastAsia" w:ascii="仿宋" w:hAnsi="仿宋" w:eastAsia="仿宋" w:cs="仿宋"/>
          <w:color w:val="000000"/>
          <w:sz w:val="24"/>
          <w:szCs w:val="24"/>
          <w:highlight w:val="none"/>
          <w:lang w:eastAsia="zh-CN"/>
        </w:rPr>
        <w:t>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 xml:space="preserve"> （名称及身份证号码）；工期：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；工程质量要求：</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p>
    <w:p w14:paraId="60EB666C">
      <w:pPr>
        <w:pageBreakBefore w:val="0"/>
        <w:numPr>
          <w:ilvl w:val="0"/>
          <w:numId w:val="18"/>
        </w:numPr>
        <w:tabs>
          <w:tab w:val="left" w:pos="6300"/>
        </w:tabs>
        <w:kinsoku/>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我方现提交的响应文件为：响应文件</w:t>
      </w:r>
      <w:r>
        <w:rPr>
          <w:rFonts w:hint="eastAsia" w:ascii="仿宋" w:hAnsi="仿宋" w:eastAsia="仿宋" w:cs="仿宋"/>
          <w:color w:val="auto"/>
          <w:sz w:val="24"/>
          <w:szCs w:val="24"/>
          <w:highlight w:val="none"/>
          <w:lang w:eastAsia="zh-CN"/>
        </w:rPr>
        <w:t>纸质档</w:t>
      </w:r>
      <w:r>
        <w:rPr>
          <w:rFonts w:hint="eastAsia" w:ascii="仿宋" w:hAnsi="仿宋" w:eastAsia="仿宋" w:cs="仿宋"/>
          <w:color w:val="auto"/>
          <w:sz w:val="24"/>
          <w:szCs w:val="24"/>
          <w:highlight w:val="none"/>
        </w:rPr>
        <w:t>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val="en-US" w:eastAsia="zh-CN"/>
        </w:rPr>
        <w:t>,副本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w:t>
      </w:r>
      <w:r>
        <w:rPr>
          <w:rFonts w:hint="eastAsia" w:ascii="仿宋" w:hAnsi="仿宋" w:eastAsia="仿宋" w:cs="仿宋"/>
          <w:color w:val="auto"/>
          <w:sz w:val="24"/>
          <w:szCs w:val="24"/>
          <w:highlight w:val="none"/>
        </w:rPr>
        <w:t>。</w:t>
      </w:r>
    </w:p>
    <w:p w14:paraId="2529990E">
      <w:pPr>
        <w:pageBreakBefore w:val="0"/>
        <w:tabs>
          <w:tab w:val="left" w:pos="6300"/>
        </w:tabs>
        <w:kinsoku/>
        <w:topLinePunct w:val="0"/>
        <w:bidi w:val="0"/>
        <w:snapToGrid w:val="0"/>
        <w:spacing w:line="360" w:lineRule="auto"/>
        <w:ind w:firstLine="480" w:firstLineChars="200"/>
        <w:rPr>
          <w:rFonts w:hint="eastAsia" w:ascii="仿宋" w:hAnsi="仿宋" w:eastAsia="仿宋" w:cs="仿宋"/>
          <w:kern w:val="2"/>
          <w:sz w:val="24"/>
          <w:highlight w:val="none"/>
          <w:lang w:val="en-US" w:eastAsia="zh-CN" w:bidi="ar-SA"/>
        </w:rPr>
      </w:pPr>
      <w:r>
        <w:rPr>
          <w:rFonts w:hint="eastAsia" w:ascii="仿宋" w:hAnsi="仿宋" w:eastAsia="仿宋" w:cs="仿宋"/>
          <w:kern w:val="2"/>
          <w:sz w:val="24"/>
          <w:highlight w:val="none"/>
          <w:lang w:val="en-US" w:eastAsia="zh-CN" w:bidi="ar-SA"/>
        </w:rPr>
        <w:t>3.我方承诺：本次报价的有效期为提交响应文件截止时间起90天。</w:t>
      </w:r>
    </w:p>
    <w:p w14:paraId="434CDF4B">
      <w:pPr>
        <w:pageBreakBefore w:val="0"/>
        <w:tabs>
          <w:tab w:val="left" w:pos="6300"/>
        </w:tabs>
        <w:kinsoku/>
        <w:topLinePunct w:val="0"/>
        <w:bidi w:val="0"/>
        <w:snapToGrid w:val="0"/>
        <w:spacing w:line="360" w:lineRule="auto"/>
        <w:ind w:firstLine="570"/>
        <w:rPr>
          <w:rFonts w:hint="eastAsia" w:ascii="仿宋" w:hAnsi="仿宋" w:eastAsia="仿宋" w:cs="仿宋"/>
          <w:kern w:val="2"/>
          <w:sz w:val="24"/>
          <w:highlight w:val="none"/>
          <w:lang w:val="en-US" w:eastAsia="zh-CN" w:bidi="ar-SA"/>
        </w:rPr>
      </w:pPr>
      <w:r>
        <w:rPr>
          <w:rFonts w:hint="eastAsia" w:ascii="仿宋" w:hAnsi="仿宋" w:eastAsia="仿宋" w:cs="仿宋"/>
          <w:kern w:val="2"/>
          <w:sz w:val="24"/>
          <w:highlight w:val="none"/>
          <w:lang w:val="en-US" w:eastAsia="zh-CN" w:bidi="ar-SA"/>
        </w:rPr>
        <w:t>4、我方完全理解和接受贵方比选采购文件的一切规定和要求及评审办法。</w:t>
      </w:r>
    </w:p>
    <w:p w14:paraId="13FB353B">
      <w:pPr>
        <w:pageBreakBefore w:val="0"/>
        <w:tabs>
          <w:tab w:val="left" w:pos="6300"/>
        </w:tabs>
        <w:kinsoku/>
        <w:topLinePunct w:val="0"/>
        <w:bidi w:val="0"/>
        <w:snapToGrid w:val="0"/>
        <w:spacing w:line="360" w:lineRule="auto"/>
        <w:ind w:firstLine="570"/>
        <w:rPr>
          <w:rFonts w:hint="eastAsia" w:ascii="仿宋" w:hAnsi="仿宋" w:eastAsia="仿宋" w:cs="仿宋"/>
          <w:kern w:val="2"/>
          <w:sz w:val="24"/>
          <w:highlight w:val="none"/>
          <w:lang w:val="en-US" w:eastAsia="zh-CN" w:bidi="ar-SA"/>
        </w:rPr>
      </w:pPr>
      <w:r>
        <w:rPr>
          <w:rFonts w:hint="eastAsia" w:ascii="仿宋" w:hAnsi="仿宋" w:eastAsia="仿宋" w:cs="仿宋"/>
          <w:kern w:val="2"/>
          <w:sz w:val="24"/>
          <w:highlight w:val="none"/>
          <w:lang w:val="en-US" w:eastAsia="zh-CN" w:bidi="ar-SA"/>
        </w:rPr>
        <w:t>5、在整个采购过程中，我方若有违规行为，接受相关处罚。</w:t>
      </w:r>
    </w:p>
    <w:p w14:paraId="352C8FFB">
      <w:pPr>
        <w:pageBreakBefore w:val="0"/>
        <w:tabs>
          <w:tab w:val="left" w:pos="6300"/>
        </w:tabs>
        <w:kinsoku/>
        <w:topLinePunct w:val="0"/>
        <w:bidi w:val="0"/>
        <w:snapToGrid w:val="0"/>
        <w:spacing w:line="360" w:lineRule="auto"/>
        <w:ind w:firstLine="570"/>
        <w:rPr>
          <w:rFonts w:hint="eastAsia" w:ascii="仿宋" w:hAnsi="仿宋" w:eastAsia="仿宋" w:cs="仿宋"/>
          <w:kern w:val="2"/>
          <w:sz w:val="24"/>
          <w:highlight w:val="none"/>
          <w:lang w:val="en-US" w:eastAsia="zh-CN" w:bidi="ar-SA"/>
        </w:rPr>
      </w:pPr>
      <w:r>
        <w:rPr>
          <w:rFonts w:hint="eastAsia" w:ascii="仿宋" w:hAnsi="仿宋" w:eastAsia="仿宋" w:cs="仿宋"/>
          <w:kern w:val="2"/>
          <w:sz w:val="24"/>
          <w:highlight w:val="none"/>
          <w:lang w:val="en-US" w:eastAsia="zh-CN" w:bidi="ar-SA"/>
        </w:rPr>
        <w:t>6、我方若中选，将按照采购结果签订合同，并且严格履行合同义务。本承诺函将成为合同不可分割的一部分，与合同具有同等的法律效力。</w:t>
      </w:r>
    </w:p>
    <w:p w14:paraId="25861066">
      <w:pPr>
        <w:pageBreakBefore w:val="0"/>
        <w:tabs>
          <w:tab w:val="left" w:pos="6300"/>
        </w:tabs>
        <w:kinsoku/>
        <w:topLinePunct w:val="0"/>
        <w:bidi w:val="0"/>
        <w:snapToGrid w:val="0"/>
        <w:spacing w:line="360" w:lineRule="auto"/>
        <w:ind w:firstLine="570"/>
        <w:rPr>
          <w:rFonts w:hint="eastAsia" w:ascii="仿宋" w:hAnsi="仿宋" w:eastAsia="仿宋" w:cs="仿宋"/>
          <w:kern w:val="2"/>
          <w:sz w:val="24"/>
          <w:highlight w:val="none"/>
          <w:lang w:val="en-US" w:eastAsia="zh-CN" w:bidi="ar-SA"/>
        </w:rPr>
      </w:pPr>
      <w:r>
        <w:rPr>
          <w:rFonts w:hint="eastAsia" w:ascii="仿宋" w:hAnsi="仿宋" w:eastAsia="仿宋" w:cs="仿宋"/>
          <w:kern w:val="2"/>
          <w:sz w:val="24"/>
          <w:highlight w:val="none"/>
          <w:lang w:val="en-US" w:eastAsia="zh-CN" w:bidi="ar-SA"/>
        </w:rPr>
        <w:t>7、我方理解，最低报价不是成交的唯一条件。</w:t>
      </w:r>
    </w:p>
    <w:p w14:paraId="65F09EBE">
      <w:pPr>
        <w:pageBreakBefore w:val="0"/>
        <w:tabs>
          <w:tab w:val="left" w:pos="6300"/>
        </w:tabs>
        <w:kinsoku/>
        <w:topLinePunct w:val="0"/>
        <w:bidi w:val="0"/>
        <w:snapToGrid w:val="0"/>
        <w:spacing w:line="360" w:lineRule="auto"/>
        <w:ind w:firstLine="570"/>
        <w:rPr>
          <w:rFonts w:hint="eastAsia" w:ascii="仿宋" w:hAnsi="仿宋" w:eastAsia="仿宋" w:cs="仿宋"/>
          <w:kern w:val="2"/>
          <w:sz w:val="24"/>
          <w:highlight w:val="none"/>
          <w:lang w:val="en-US" w:eastAsia="zh-CN" w:bidi="ar-SA"/>
        </w:rPr>
      </w:pPr>
    </w:p>
    <w:p w14:paraId="7C38E079">
      <w:pPr>
        <w:pageBreakBefore w:val="0"/>
        <w:kinsoku/>
        <w:topLinePunct w:val="0"/>
        <w:bidi w:val="0"/>
        <w:spacing w:line="360" w:lineRule="auto"/>
        <w:ind w:firstLine="6720" w:firstLineChars="2800"/>
        <w:rPr>
          <w:rFonts w:hint="eastAsia" w:ascii="仿宋" w:hAnsi="仿宋" w:eastAsia="仿宋" w:cs="仿宋"/>
          <w:kern w:val="2"/>
          <w:sz w:val="24"/>
          <w:highlight w:val="none"/>
          <w:lang w:val="en-US" w:eastAsia="zh-CN" w:bidi="ar-SA"/>
        </w:rPr>
      </w:pPr>
      <w:r>
        <w:rPr>
          <w:rFonts w:hint="eastAsia" w:ascii="仿宋" w:hAnsi="仿宋" w:eastAsia="仿宋" w:cs="仿宋"/>
          <w:kern w:val="2"/>
          <w:sz w:val="24"/>
          <w:highlight w:val="none"/>
          <w:lang w:val="en-US" w:eastAsia="zh-CN" w:bidi="ar-SA"/>
        </w:rPr>
        <w:t xml:space="preserve"> 供应商名称（公章）：</w:t>
      </w:r>
    </w:p>
    <w:p w14:paraId="7956E6E1">
      <w:pPr>
        <w:pageBreakBefore w:val="0"/>
        <w:kinsoku/>
        <w:topLinePunct w:val="0"/>
        <w:bidi w:val="0"/>
        <w:spacing w:line="360" w:lineRule="auto"/>
        <w:rPr>
          <w:rFonts w:hint="eastAsia" w:ascii="仿宋" w:hAnsi="仿宋" w:eastAsia="仿宋" w:cs="仿宋"/>
          <w:kern w:val="2"/>
          <w:sz w:val="24"/>
          <w:highlight w:val="none"/>
          <w:lang w:val="en-US" w:eastAsia="zh-CN" w:bidi="ar-SA"/>
        </w:rPr>
        <w:sectPr>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kern w:val="2"/>
          <w:sz w:val="24"/>
          <w:highlight w:val="none"/>
          <w:lang w:val="en-US" w:eastAsia="zh-CN" w:bidi="ar-SA"/>
        </w:rPr>
        <w:t xml:space="preserve">                                                           年   月   日</w:t>
      </w:r>
    </w:p>
    <w:bookmarkEnd w:id="308"/>
    <w:bookmarkEnd w:id="309"/>
    <w:bookmarkEnd w:id="310"/>
    <w:bookmarkEnd w:id="311"/>
    <w:bookmarkEnd w:id="312"/>
    <w:bookmarkEnd w:id="313"/>
    <w:bookmarkEnd w:id="314"/>
    <w:bookmarkEnd w:id="315"/>
    <w:p w14:paraId="398A575F">
      <w:pPr>
        <w:pageBreakBefore w:val="0"/>
        <w:kinsoku/>
        <w:topLinePunct w:val="0"/>
        <w:bidi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（二）</w:t>
      </w:r>
      <w:r>
        <w:rPr>
          <w:rFonts w:hint="eastAsia" w:ascii="仿宋" w:hAnsi="仿宋" w:eastAsia="仿宋" w:cs="仿宋"/>
          <w:color w:val="auto"/>
          <w:highlight w:val="none"/>
          <w:lang w:val="en-US" w:eastAsia="zh-CN"/>
        </w:rPr>
        <w:t>分项报价表明细</w:t>
      </w:r>
    </w:p>
    <w:p w14:paraId="18573CAC">
      <w:pPr>
        <w:pStyle w:val="35"/>
        <w:pageBreakBefore w:val="0"/>
        <w:numPr>
          <w:ilvl w:val="0"/>
          <w:numId w:val="0"/>
        </w:numPr>
        <w:kinsoku/>
        <w:topLinePunct w:val="0"/>
        <w:bidi w:val="0"/>
        <w:spacing w:line="360" w:lineRule="auto"/>
        <w:ind w:left="753" w:left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（供应商提供已标价工程量清单）</w:t>
      </w:r>
    </w:p>
    <w:p w14:paraId="635D520E">
      <w:pPr>
        <w:pageBreakBefore w:val="0"/>
        <w:kinsoku/>
        <w:topLinePunct w:val="0"/>
        <w:bidi w:val="0"/>
        <w:spacing w:line="360" w:lineRule="auto"/>
        <w:outlineLvl w:val="9"/>
        <w:rPr>
          <w:rFonts w:hint="eastAsia" w:ascii="仿宋" w:hAnsi="仿宋" w:eastAsia="仿宋" w:cs="仿宋"/>
          <w:sz w:val="24"/>
          <w:szCs w:val="24"/>
          <w:highlight w:val="none"/>
        </w:rPr>
      </w:pPr>
    </w:p>
    <w:p w14:paraId="5E80847C">
      <w:pPr>
        <w:pageBreakBefore w:val="0"/>
        <w:kinsoku/>
        <w:topLinePunct w:val="0"/>
        <w:bidi w:val="0"/>
        <w:spacing w:line="360" w:lineRule="auto"/>
        <w:ind w:firstLine="0" w:firstLineChars="0"/>
        <w:rPr>
          <w:rFonts w:hint="eastAsia" w:ascii="仿宋" w:hAnsi="仿宋" w:eastAsia="仿宋" w:cs="仿宋"/>
          <w:b/>
          <w:color w:val="auto"/>
          <w:highlight w:val="none"/>
          <w:shd w:val="clear" w:color="auto" w:fill="auto"/>
        </w:rPr>
      </w:pP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sz w:val="24"/>
          <w:szCs w:val="24"/>
          <w:highlight w:val="none"/>
        </w:rPr>
        <w:br w:type="page"/>
      </w:r>
      <w:r>
        <w:rPr>
          <w:rFonts w:hint="eastAsia" w:ascii="仿宋" w:hAnsi="仿宋" w:eastAsia="仿宋" w:cs="仿宋"/>
          <w:b/>
          <w:color w:val="auto"/>
          <w:highlight w:val="none"/>
          <w:shd w:val="clear" w:color="auto" w:fill="auto"/>
        </w:rPr>
        <w:t>二、资格条件及其他</w:t>
      </w:r>
    </w:p>
    <w:p w14:paraId="606232C0">
      <w:pPr>
        <w:pageBreakBefore w:val="0"/>
        <w:widowControl w:val="0"/>
        <w:kinsoku/>
        <w:topLinePunct w:val="0"/>
        <w:bidi w:val="0"/>
        <w:spacing w:line="360" w:lineRule="auto"/>
        <w:ind w:firstLine="0" w:firstLineChars="0"/>
        <w:jc w:val="center"/>
        <w:rPr>
          <w:rFonts w:hint="eastAsia" w:ascii="仿宋" w:hAnsi="仿宋" w:eastAsia="仿宋" w:cs="仿宋"/>
          <w:color w:val="auto"/>
          <w:highlight w:val="none"/>
          <w:u w:val="single"/>
          <w:shd w:val="clear" w:color="auto" w:fill="auto"/>
        </w:rPr>
      </w:pPr>
      <w:r>
        <w:rPr>
          <w:rFonts w:hint="eastAsia" w:ascii="仿宋" w:hAnsi="仿宋" w:eastAsia="仿宋" w:cs="仿宋"/>
          <w:color w:val="auto"/>
          <w:highlight w:val="none"/>
          <w:u w:val="single"/>
          <w:shd w:val="clear" w:color="auto" w:fill="auto"/>
        </w:rPr>
        <w:t>按照</w:t>
      </w:r>
      <w:r>
        <w:rPr>
          <w:rFonts w:hint="eastAsia" w:ascii="仿宋" w:hAnsi="仿宋" w:eastAsia="仿宋" w:cs="仿宋"/>
          <w:color w:val="auto"/>
          <w:highlight w:val="none"/>
          <w:u w:val="single"/>
          <w:shd w:val="clear" w:color="auto" w:fill="auto"/>
          <w:lang w:eastAsia="zh-CN"/>
        </w:rPr>
        <w:t>采购文件</w:t>
      </w:r>
      <w:r>
        <w:rPr>
          <w:rFonts w:hint="eastAsia" w:ascii="仿宋" w:hAnsi="仿宋" w:eastAsia="仿宋" w:cs="仿宋"/>
          <w:color w:val="auto"/>
          <w:highlight w:val="none"/>
          <w:u w:val="single"/>
          <w:shd w:val="clear" w:color="auto" w:fill="auto"/>
        </w:rPr>
        <w:t>要求提供复印件加盖公章</w:t>
      </w:r>
    </w:p>
    <w:p w14:paraId="78274AD0">
      <w:pPr>
        <w:pageBreakBefore w:val="0"/>
        <w:widowControl w:val="0"/>
        <w:kinsoku/>
        <w:topLinePunct w:val="0"/>
        <w:bidi w:val="0"/>
        <w:spacing w:line="360" w:lineRule="auto"/>
        <w:ind w:firstLine="0" w:firstLineChars="0"/>
        <w:jc w:val="both"/>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br w:type="page"/>
      </w:r>
    </w:p>
    <w:p w14:paraId="43FB9A44">
      <w:pPr>
        <w:pageBreakBefore w:val="0"/>
        <w:widowControl w:val="0"/>
        <w:kinsoku/>
        <w:topLinePunct w:val="0"/>
        <w:bidi w:val="0"/>
        <w:spacing w:line="360" w:lineRule="auto"/>
        <w:ind w:firstLine="0" w:firstLineChars="0"/>
        <w:jc w:val="both"/>
        <w:rPr>
          <w:rFonts w:hint="eastAsia" w:ascii="仿宋" w:hAnsi="仿宋" w:eastAsia="仿宋" w:cs="仿宋"/>
          <w:b/>
          <w:color w:val="auto"/>
          <w:highlight w:val="none"/>
          <w:shd w:val="clear" w:color="auto" w:fill="auto"/>
        </w:rPr>
      </w:pPr>
      <w:r>
        <w:rPr>
          <w:rFonts w:hint="eastAsia" w:ascii="仿宋" w:hAnsi="仿宋" w:eastAsia="仿宋" w:cs="仿宋"/>
          <w:b/>
          <w:color w:val="auto"/>
          <w:highlight w:val="none"/>
          <w:shd w:val="clear" w:color="auto" w:fill="auto"/>
        </w:rPr>
        <w:t>三、法定代表人身份证明书</w:t>
      </w:r>
    </w:p>
    <w:p w14:paraId="344FD482">
      <w:pPr>
        <w:keepNext/>
        <w:keepLines/>
        <w:pageBreakBefore w:val="0"/>
        <w:widowControl w:val="0"/>
        <w:kinsoku/>
        <w:topLinePunct w:val="0"/>
        <w:bidi w:val="0"/>
        <w:spacing w:before="260" w:after="260" w:line="360" w:lineRule="auto"/>
        <w:ind w:firstLine="40"/>
        <w:jc w:val="both"/>
        <w:outlineLvl w:val="2"/>
        <w:rPr>
          <w:rFonts w:hint="eastAsia" w:ascii="仿宋" w:hAnsi="仿宋" w:eastAsia="仿宋" w:cs="仿宋"/>
          <w:b/>
          <w:color w:val="auto"/>
          <w:sz w:val="2"/>
          <w:szCs w:val="2"/>
          <w:highlight w:val="none"/>
          <w:shd w:val="clear" w:color="auto" w:fill="auto"/>
        </w:rPr>
      </w:pPr>
    </w:p>
    <w:p w14:paraId="7927D40F">
      <w:pPr>
        <w:pageBreakBefore w:val="0"/>
        <w:widowControl w:val="0"/>
        <w:tabs>
          <w:tab w:val="left" w:pos="6300"/>
        </w:tabs>
        <w:kinsoku/>
        <w:topLinePunct w:val="0"/>
        <w:bidi w:val="0"/>
        <w:snapToGrid w:val="0"/>
        <w:spacing w:line="360" w:lineRule="auto"/>
        <w:ind w:firstLine="480" w:firstLineChars="0"/>
        <w:jc w:val="center"/>
        <w:rPr>
          <w:rFonts w:hint="eastAsia" w:ascii="仿宋" w:hAnsi="仿宋" w:eastAsia="仿宋" w:cs="仿宋"/>
          <w:color w:val="auto"/>
          <w:sz w:val="28"/>
          <w:szCs w:val="20"/>
          <w:highlight w:val="none"/>
          <w:shd w:val="clear" w:color="auto" w:fill="auto"/>
        </w:rPr>
      </w:pPr>
      <w:r>
        <w:rPr>
          <w:rFonts w:hint="eastAsia" w:ascii="仿宋" w:hAnsi="仿宋" w:eastAsia="仿宋" w:cs="仿宋"/>
          <w:b/>
          <w:bCs/>
          <w:color w:val="auto"/>
          <w:highlight w:val="none"/>
          <w:shd w:val="clear" w:color="auto" w:fill="auto"/>
        </w:rPr>
        <w:t>法定代表人身份证明书</w:t>
      </w:r>
    </w:p>
    <w:p w14:paraId="45E74E1F">
      <w:pPr>
        <w:pageBreakBefore w:val="0"/>
        <w:widowControl w:val="0"/>
        <w:tabs>
          <w:tab w:val="left" w:pos="6300"/>
        </w:tabs>
        <w:kinsoku/>
        <w:topLinePunct w:val="0"/>
        <w:bidi w:val="0"/>
        <w:snapToGrid w:val="0"/>
        <w:spacing w:line="360" w:lineRule="auto"/>
        <w:ind w:firstLine="480"/>
        <w:jc w:val="both"/>
        <w:rPr>
          <w:rFonts w:hint="eastAsia" w:ascii="仿宋" w:hAnsi="仿宋" w:eastAsia="仿宋" w:cs="仿宋"/>
          <w:color w:val="auto"/>
          <w:highlight w:val="none"/>
          <w:shd w:val="clear" w:color="auto" w:fill="auto"/>
        </w:rPr>
      </w:pPr>
    </w:p>
    <w:p w14:paraId="022FBBE2">
      <w:pPr>
        <w:pageBreakBefore w:val="0"/>
        <w:kinsoku/>
        <w:topLinePunct w:val="0"/>
        <w:bidi w:val="0"/>
        <w:spacing w:line="360" w:lineRule="auto"/>
        <w:ind w:firstLine="480"/>
        <w:rPr>
          <w:rFonts w:hint="eastAsia" w:ascii="仿宋" w:hAnsi="仿宋" w:eastAsia="仿宋" w:cs="仿宋"/>
          <w:color w:val="auto"/>
          <w:highlight w:val="none"/>
          <w:u w:val="single"/>
          <w:shd w:val="clear" w:color="auto" w:fill="auto"/>
        </w:rPr>
      </w:pPr>
      <w:r>
        <w:rPr>
          <w:rFonts w:hint="eastAsia" w:ascii="仿宋" w:hAnsi="仿宋" w:eastAsia="仿宋" w:cs="仿宋"/>
          <w:color w:val="auto"/>
          <w:highlight w:val="none"/>
          <w:shd w:val="clear" w:color="auto" w:fill="auto"/>
        </w:rPr>
        <w:t>项目名称：</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 xml:space="preserve">                                               </w:t>
      </w:r>
    </w:p>
    <w:p w14:paraId="016564C0">
      <w:pPr>
        <w:pStyle w:val="226"/>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1355517E">
      <w:pPr>
        <w:pStyle w:val="224"/>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致：_________________（采购人名称）：</w:t>
      </w:r>
    </w:p>
    <w:p w14:paraId="3E85F065">
      <w:pPr>
        <w:pStyle w:val="226"/>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（法定代表人姓名）在</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（供应商名称）任</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（职务名称）职务，是（供应商名称）</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 xml:space="preserve"> 的法定代表人。</w:t>
      </w:r>
    </w:p>
    <w:p w14:paraId="446FB18A">
      <w:pPr>
        <w:pStyle w:val="226"/>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43E11FFA">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特此证明。</w:t>
      </w:r>
    </w:p>
    <w:p w14:paraId="510D697C">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4C3DF443">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318921FE">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5E7C9CEB">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（供应商公章）</w:t>
      </w:r>
    </w:p>
    <w:p w14:paraId="57CC2ADE">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36017394">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3BBCA365">
      <w:pPr>
        <w:pageBreakBefore w:val="0"/>
        <w:tabs>
          <w:tab w:val="left" w:pos="6300"/>
        </w:tabs>
        <w:kinsoku/>
        <w:topLinePunct w:val="0"/>
        <w:bidi w:val="0"/>
        <w:snapToGrid w:val="0"/>
        <w:spacing w:line="360" w:lineRule="auto"/>
        <w:ind w:firstLine="480"/>
        <w:rPr>
          <w:rFonts w:hint="eastAsia" w:ascii="仿宋" w:hAnsi="仿宋" w:eastAsia="仿宋" w:cs="仿宋"/>
          <w:color w:val="auto"/>
          <w:highlight w:val="none"/>
          <w:shd w:val="clear" w:color="auto" w:fill="auto"/>
        </w:rPr>
      </w:pPr>
    </w:p>
    <w:p w14:paraId="4EAD26EF">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（附：法定代表人身份证正反面复印件）</w:t>
      </w:r>
    </w:p>
    <w:p w14:paraId="095C1E92">
      <w:pPr>
        <w:pageBreakBefore w:val="0"/>
        <w:widowControl w:val="0"/>
        <w:kinsoku/>
        <w:topLinePunct w:val="0"/>
        <w:bidi w:val="0"/>
        <w:spacing w:line="360" w:lineRule="auto"/>
        <w:ind w:firstLine="0" w:firstLineChars="0"/>
        <w:jc w:val="both"/>
        <w:rPr>
          <w:rFonts w:hint="eastAsia" w:ascii="仿宋" w:hAnsi="仿宋" w:eastAsia="仿宋" w:cs="仿宋"/>
          <w:b/>
          <w:bCs/>
          <w:color w:val="auto"/>
          <w:highlight w:val="none"/>
          <w:shd w:val="clear" w:color="auto" w:fill="auto"/>
        </w:rPr>
      </w:pPr>
      <w:r>
        <w:rPr>
          <w:rFonts w:hint="eastAsia" w:ascii="仿宋" w:hAnsi="仿宋" w:eastAsia="仿宋" w:cs="仿宋"/>
          <w:b/>
          <w:bCs/>
          <w:color w:val="auto"/>
          <w:highlight w:val="none"/>
          <w:shd w:val="clear" w:color="auto" w:fill="auto"/>
        </w:rPr>
        <w:br w:type="page"/>
      </w:r>
    </w:p>
    <w:p w14:paraId="566AEA2B">
      <w:pPr>
        <w:pageBreakBefore w:val="0"/>
        <w:kinsoku/>
        <w:topLinePunct w:val="0"/>
        <w:bidi w:val="0"/>
        <w:spacing w:line="360" w:lineRule="auto"/>
        <w:ind w:firstLine="0" w:firstLineChars="0"/>
        <w:rPr>
          <w:rFonts w:hint="eastAsia" w:ascii="仿宋" w:hAnsi="仿宋" w:eastAsia="仿宋" w:cs="仿宋"/>
          <w:b/>
          <w:color w:val="auto"/>
          <w:highlight w:val="none"/>
          <w:shd w:val="clear" w:color="auto" w:fill="auto"/>
        </w:rPr>
      </w:pPr>
      <w:r>
        <w:rPr>
          <w:rFonts w:hint="eastAsia" w:ascii="仿宋" w:hAnsi="仿宋" w:eastAsia="仿宋" w:cs="仿宋"/>
          <w:b/>
          <w:color w:val="auto"/>
          <w:highlight w:val="none"/>
          <w:shd w:val="clear" w:color="auto" w:fill="auto"/>
        </w:rPr>
        <w:t>四、法定代表人授权委托书</w:t>
      </w:r>
    </w:p>
    <w:p w14:paraId="29560BEA">
      <w:pPr>
        <w:pageBreakBefore w:val="0"/>
        <w:widowControl w:val="0"/>
        <w:tabs>
          <w:tab w:val="left" w:pos="6300"/>
        </w:tabs>
        <w:kinsoku/>
        <w:topLinePunct w:val="0"/>
        <w:bidi w:val="0"/>
        <w:snapToGrid w:val="0"/>
        <w:spacing w:line="360" w:lineRule="auto"/>
        <w:ind w:firstLine="0" w:firstLineChars="0"/>
        <w:jc w:val="center"/>
        <w:rPr>
          <w:rFonts w:hint="eastAsia" w:ascii="仿宋" w:hAnsi="仿宋" w:eastAsia="仿宋" w:cs="仿宋"/>
          <w:color w:val="auto"/>
          <w:highlight w:val="none"/>
          <w:shd w:val="clear" w:color="auto" w:fill="auto"/>
        </w:rPr>
      </w:pPr>
    </w:p>
    <w:p w14:paraId="57A8AF3A">
      <w:pPr>
        <w:pStyle w:val="6"/>
        <w:pageBreakBefore w:val="0"/>
        <w:kinsoku/>
        <w:topLinePunct w:val="0"/>
        <w:bidi w:val="0"/>
        <w:spacing w:before="32" w:after="32" w:line="360" w:lineRule="auto"/>
        <w:ind w:firstLine="527"/>
        <w:jc w:val="center"/>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法定代表人授权委托书</w:t>
      </w:r>
    </w:p>
    <w:p w14:paraId="3D271E9E">
      <w:pPr>
        <w:pageBreakBefore w:val="0"/>
        <w:kinsoku/>
        <w:topLinePunct w:val="0"/>
        <w:bidi w:val="0"/>
        <w:snapToGrid w:val="0"/>
        <w:spacing w:line="360" w:lineRule="auto"/>
        <w:ind w:firstLine="600"/>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 xml:space="preserve">    </w:t>
      </w:r>
    </w:p>
    <w:p w14:paraId="3D9EC3C0">
      <w:pPr>
        <w:pageBreakBefore w:val="0"/>
        <w:kinsoku/>
        <w:topLinePunct w:val="0"/>
        <w:bidi w:val="0"/>
        <w:spacing w:line="360" w:lineRule="auto"/>
        <w:ind w:firstLine="480"/>
        <w:rPr>
          <w:rFonts w:hint="eastAsia" w:ascii="仿宋" w:hAnsi="仿宋" w:eastAsia="仿宋" w:cs="仿宋"/>
          <w:color w:val="auto"/>
          <w:highlight w:val="none"/>
          <w:u w:val="single"/>
          <w:shd w:val="clear" w:color="auto" w:fill="auto"/>
        </w:rPr>
      </w:pPr>
      <w:r>
        <w:rPr>
          <w:rFonts w:hint="eastAsia" w:ascii="仿宋" w:hAnsi="仿宋" w:eastAsia="仿宋" w:cs="仿宋"/>
          <w:color w:val="auto"/>
          <w:highlight w:val="none"/>
          <w:shd w:val="clear" w:color="auto" w:fill="auto"/>
        </w:rPr>
        <w:t>项目名称：</w:t>
      </w:r>
      <w:r>
        <w:rPr>
          <w:rFonts w:hint="eastAsia" w:ascii="仿宋" w:hAnsi="仿宋" w:eastAsia="仿宋" w:cs="仿宋"/>
          <w:color w:val="auto"/>
          <w:highlight w:val="none"/>
          <w:u w:val="single"/>
          <w:shd w:val="clear" w:color="auto" w:fill="auto"/>
        </w:rPr>
        <w:t xml:space="preserve">                                         </w:t>
      </w:r>
    </w:p>
    <w:p w14:paraId="01664A03">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1DE15824">
      <w:pPr>
        <w:pStyle w:val="224"/>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致：_________________（采购人名称）：</w:t>
      </w:r>
    </w:p>
    <w:p w14:paraId="18EF59F2">
      <w:pPr>
        <w:pStyle w:val="224"/>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法定代表人名称）是</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名称）的法定代表人，特授权</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（被授权人姓名及身份证代码）电话</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代表我单位全权办理上述项目的投标、</w:t>
      </w:r>
      <w:r>
        <w:rPr>
          <w:rFonts w:hint="eastAsia" w:ascii="仿宋" w:hAnsi="仿宋" w:eastAsia="仿宋" w:cs="仿宋"/>
          <w:color w:val="auto"/>
          <w:highlight w:val="none"/>
          <w:shd w:val="clear" w:color="auto" w:fill="auto"/>
          <w:lang w:eastAsia="zh-CN"/>
        </w:rPr>
        <w:t>开标</w:t>
      </w:r>
      <w:r>
        <w:rPr>
          <w:rFonts w:hint="eastAsia" w:ascii="仿宋" w:hAnsi="仿宋" w:eastAsia="仿宋" w:cs="仿宋"/>
          <w:color w:val="auto"/>
          <w:highlight w:val="none"/>
          <w:shd w:val="clear" w:color="auto" w:fill="auto"/>
        </w:rPr>
        <w:t>、签约等具体工作，并签署全部有关文件、协议及合同。</w:t>
      </w:r>
    </w:p>
    <w:p w14:paraId="40CFF4FD">
      <w:pPr>
        <w:pStyle w:val="224"/>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我单位对被授权人的签名负全部责任。</w:t>
      </w:r>
    </w:p>
    <w:p w14:paraId="0A47C5BF">
      <w:pPr>
        <w:pStyle w:val="224"/>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在撤销授权的书面通知以前，本授权书一直有效。被授权人在授权书有效期内签署的所有文件不因授权的撤销而失效。</w:t>
      </w:r>
    </w:p>
    <w:p w14:paraId="59C7B87C">
      <w:pPr>
        <w:pStyle w:val="224"/>
        <w:pageBreakBefore w:val="0"/>
        <w:kinsoku/>
        <w:topLinePunct w:val="0"/>
        <w:bidi w:val="0"/>
        <w:spacing w:line="360" w:lineRule="auto"/>
        <w:ind w:left="480" w:hanging="480"/>
        <w:rPr>
          <w:rFonts w:hint="eastAsia" w:ascii="仿宋" w:hAnsi="仿宋" w:eastAsia="仿宋" w:cs="仿宋"/>
          <w:color w:val="auto"/>
          <w:highlight w:val="none"/>
          <w:shd w:val="clear" w:color="auto" w:fill="auto"/>
        </w:rPr>
      </w:pPr>
    </w:p>
    <w:p w14:paraId="6CEF6F3E">
      <w:pPr>
        <w:pStyle w:val="224"/>
        <w:pageBreakBefore w:val="0"/>
        <w:kinsoku/>
        <w:topLinePunct w:val="0"/>
        <w:bidi w:val="0"/>
        <w:spacing w:line="360" w:lineRule="auto"/>
        <w:ind w:left="560" w:leftChars="20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被授权人：                                 </w:t>
      </w: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法定代表人：</w:t>
      </w:r>
    </w:p>
    <w:p w14:paraId="1255A9B6">
      <w:pPr>
        <w:pStyle w:val="224"/>
        <w:pageBreakBefore w:val="0"/>
        <w:kinsoku/>
        <w:topLinePunct w:val="0"/>
        <w:bidi w:val="0"/>
        <w:spacing w:line="360" w:lineRule="auto"/>
        <w:ind w:left="480" w:hanging="480"/>
        <w:rPr>
          <w:rFonts w:hint="eastAsia" w:ascii="仿宋" w:hAnsi="仿宋" w:eastAsia="仿宋" w:cs="仿宋"/>
          <w:color w:val="auto"/>
          <w:szCs w:val="28"/>
          <w:highlight w:val="none"/>
          <w:shd w:val="clear" w:color="auto" w:fill="auto"/>
        </w:rPr>
      </w:pPr>
      <w:r>
        <w:rPr>
          <w:rFonts w:hint="eastAsia" w:ascii="仿宋" w:hAnsi="仿宋" w:eastAsia="仿宋" w:cs="仿宋"/>
          <w:color w:val="auto"/>
          <w:szCs w:val="28"/>
          <w:highlight w:val="none"/>
          <w:shd w:val="clear" w:color="auto" w:fill="auto"/>
        </w:rPr>
        <w:t xml:space="preserve">     （签字或盖章）                                （签字或盖章）</w:t>
      </w:r>
    </w:p>
    <w:p w14:paraId="56B45D64">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296A0785">
      <w:pPr>
        <w:pageBreakBefore w:val="0"/>
        <w:kinsoku/>
        <w:topLinePunct w:val="0"/>
        <w:bidi w:val="0"/>
        <w:spacing w:line="360" w:lineRule="auto"/>
        <w:ind w:firstLine="480"/>
        <w:rPr>
          <w:rFonts w:hint="eastAsia" w:ascii="仿宋" w:hAnsi="仿宋" w:eastAsia="仿宋" w:cs="仿宋"/>
          <w:color w:val="auto"/>
          <w:szCs w:val="28"/>
          <w:highlight w:val="none"/>
          <w:shd w:val="clear" w:color="auto" w:fill="auto"/>
        </w:rPr>
      </w:pPr>
      <w:r>
        <w:rPr>
          <w:rFonts w:hint="eastAsia" w:ascii="仿宋" w:hAnsi="仿宋" w:eastAsia="仿宋" w:cs="仿宋"/>
          <w:color w:val="auto"/>
          <w:szCs w:val="28"/>
          <w:highlight w:val="none"/>
          <w:shd w:val="clear" w:color="auto" w:fill="auto"/>
        </w:rPr>
        <w:t>（附：被授权人身份证正反面复印件）</w:t>
      </w:r>
    </w:p>
    <w:p w14:paraId="5BFE12B3">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0E02535B">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5300D44D">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40C3A909">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w:t>
      </w:r>
    </w:p>
    <w:p w14:paraId="3E8C4179">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21D7D3AB">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41A68AB6">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07AFB8E3">
      <w:pPr>
        <w:pageBreakBefore w:val="0"/>
        <w:kinsoku/>
        <w:topLinePunct w:val="0"/>
        <w:bidi w:val="0"/>
        <w:spacing w:line="360" w:lineRule="auto"/>
        <w:ind w:firstLine="7140" w:firstLineChars="255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供应商公章</w:t>
      </w:r>
      <w:r>
        <w:rPr>
          <w:rFonts w:hint="eastAsia" w:ascii="仿宋" w:hAnsi="仿宋" w:eastAsia="仿宋" w:cs="仿宋"/>
          <w:color w:val="auto"/>
          <w:highlight w:val="none"/>
          <w:shd w:val="clear" w:color="auto" w:fill="auto"/>
        </w:rPr>
        <w:t>）</w:t>
      </w:r>
    </w:p>
    <w:p w14:paraId="57D3ABC6">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3C484687">
      <w:pPr>
        <w:pageBreakBefore w:val="0"/>
        <w:widowControl w:val="0"/>
        <w:tabs>
          <w:tab w:val="left" w:pos="6300"/>
        </w:tabs>
        <w:kinsoku/>
        <w:topLinePunct w:val="0"/>
        <w:bidi w:val="0"/>
        <w:snapToGrid w:val="0"/>
        <w:spacing w:line="360" w:lineRule="auto"/>
        <w:ind w:right="480" w:firstLine="570" w:firstLineChars="0"/>
        <w:jc w:val="right"/>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w:t>
      </w:r>
    </w:p>
    <w:p w14:paraId="6FDE4B30">
      <w:pPr>
        <w:pageBreakBefore w:val="0"/>
        <w:widowControl w:val="0"/>
        <w:tabs>
          <w:tab w:val="left" w:pos="6300"/>
        </w:tabs>
        <w:kinsoku/>
        <w:topLinePunct w:val="0"/>
        <w:bidi w:val="0"/>
        <w:snapToGrid w:val="0"/>
        <w:spacing w:line="360" w:lineRule="auto"/>
        <w:ind w:right="480" w:firstLine="570" w:firstLineChars="0"/>
        <w:jc w:val="right"/>
        <w:rPr>
          <w:rFonts w:hint="eastAsia" w:ascii="仿宋" w:hAnsi="仿宋" w:eastAsia="仿宋" w:cs="仿宋"/>
          <w:color w:val="auto"/>
          <w:highlight w:val="none"/>
          <w:shd w:val="clear" w:color="auto" w:fill="auto"/>
        </w:rPr>
      </w:pPr>
    </w:p>
    <w:p w14:paraId="0577FB32">
      <w:pPr>
        <w:pageBreakBefore w:val="0"/>
        <w:kinsoku/>
        <w:topLinePunct w:val="0"/>
        <w:bidi w:val="0"/>
        <w:spacing w:line="360" w:lineRule="auto"/>
        <w:ind w:firstLine="0" w:firstLineChars="0"/>
        <w:rPr>
          <w:rFonts w:hint="eastAsia" w:ascii="仿宋" w:hAnsi="仿宋" w:eastAsia="仿宋" w:cs="仿宋"/>
          <w:b/>
          <w:color w:val="auto"/>
          <w:highlight w:val="none"/>
          <w:shd w:val="clear" w:color="auto" w:fill="auto"/>
        </w:rPr>
      </w:pPr>
      <w:bookmarkStart w:id="330" w:name="_Toc16943"/>
    </w:p>
    <w:p w14:paraId="3A087230">
      <w:pPr>
        <w:pageBreakBefore w:val="0"/>
        <w:kinsoku/>
        <w:topLinePunct w:val="0"/>
        <w:bidi w:val="0"/>
        <w:spacing w:line="360" w:lineRule="auto"/>
        <w:ind w:firstLine="0" w:firstLineChars="0"/>
        <w:rPr>
          <w:rFonts w:hint="eastAsia" w:ascii="仿宋" w:hAnsi="仿宋" w:eastAsia="仿宋" w:cs="仿宋"/>
          <w:b/>
          <w:color w:val="auto"/>
          <w:highlight w:val="none"/>
          <w:shd w:val="clear" w:color="auto" w:fill="auto"/>
        </w:rPr>
      </w:pPr>
      <w:r>
        <w:rPr>
          <w:rFonts w:hint="eastAsia" w:ascii="仿宋" w:hAnsi="仿宋" w:eastAsia="仿宋" w:cs="仿宋"/>
          <w:b/>
          <w:color w:val="auto"/>
          <w:highlight w:val="none"/>
          <w:shd w:val="clear" w:color="auto" w:fill="auto"/>
        </w:rPr>
        <w:t>五、书面声明</w:t>
      </w:r>
      <w:bookmarkEnd w:id="330"/>
    </w:p>
    <w:p w14:paraId="2D65B716">
      <w:pPr>
        <w:pageBreakBefore w:val="0"/>
        <w:tabs>
          <w:tab w:val="left" w:pos="6300"/>
        </w:tabs>
        <w:kinsoku/>
        <w:topLinePunct w:val="0"/>
        <w:bidi w:val="0"/>
        <w:snapToGrid w:val="0"/>
        <w:spacing w:line="360" w:lineRule="auto"/>
        <w:ind w:firstLine="480"/>
        <w:rPr>
          <w:rFonts w:hint="eastAsia" w:ascii="仿宋" w:hAnsi="仿宋" w:eastAsia="仿宋" w:cs="仿宋"/>
          <w:color w:val="auto"/>
          <w:highlight w:val="none"/>
          <w:shd w:val="clear" w:color="auto" w:fill="auto"/>
        </w:rPr>
      </w:pPr>
    </w:p>
    <w:p w14:paraId="6FB7D3BD">
      <w:pPr>
        <w:pStyle w:val="226"/>
        <w:pageBreakBefore w:val="0"/>
        <w:kinsoku/>
        <w:topLinePunct w:val="0"/>
        <w:bidi w:val="0"/>
        <w:spacing w:line="360" w:lineRule="auto"/>
        <w:ind w:firstLine="480"/>
        <w:rPr>
          <w:rFonts w:hint="eastAsia" w:ascii="仿宋" w:hAnsi="仿宋" w:eastAsia="仿宋" w:cs="仿宋"/>
          <w:color w:val="auto"/>
          <w:highlight w:val="none"/>
          <w:u w:val="single"/>
          <w:shd w:val="clear" w:color="auto" w:fill="auto"/>
        </w:rPr>
      </w:pPr>
      <w:r>
        <w:rPr>
          <w:rFonts w:hint="eastAsia" w:ascii="仿宋" w:hAnsi="仿宋" w:eastAsia="仿宋" w:cs="仿宋"/>
          <w:color w:val="auto"/>
          <w:szCs w:val="28"/>
          <w:highlight w:val="none"/>
          <w:shd w:val="clear" w:color="auto" w:fill="auto"/>
        </w:rPr>
        <w:t>项目名称</w:t>
      </w: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u w:val="single"/>
          <w:shd w:val="clear" w:color="auto" w:fill="auto"/>
        </w:rPr>
        <w:t xml:space="preserve">                                                </w:t>
      </w:r>
    </w:p>
    <w:p w14:paraId="27032EBA">
      <w:pPr>
        <w:pStyle w:val="226"/>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68A614D2">
      <w:pPr>
        <w:pageBreakBefore w:val="0"/>
        <w:tabs>
          <w:tab w:val="left" w:pos="6300"/>
        </w:tabs>
        <w:kinsoku/>
        <w:topLinePunct w:val="0"/>
        <w:bidi w:val="0"/>
        <w:snapToGrid w:val="0"/>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致</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（代理机构名称）：</w:t>
      </w:r>
    </w:p>
    <w:p w14:paraId="163BFEA3">
      <w:pPr>
        <w:pageBreakBefore w:val="0"/>
        <w:tabs>
          <w:tab w:val="left" w:pos="6300"/>
        </w:tabs>
        <w:kinsoku/>
        <w:topLinePunct w:val="0"/>
        <w:bidi w:val="0"/>
        <w:snapToGrid w:val="0"/>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名称）郑重承诺：</w:t>
      </w:r>
    </w:p>
    <w:p w14:paraId="1851A8B8">
      <w:pPr>
        <w:pageBreakBefore w:val="0"/>
        <w:tabs>
          <w:tab w:val="left" w:pos="6300"/>
        </w:tabs>
        <w:kinsoku/>
        <w:topLinePunct w:val="0"/>
        <w:bidi w:val="0"/>
        <w:snapToGrid w:val="0"/>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1.我方具有良好的商业信誉和健全的财务会计制度，具有履行合同所必需的设备和专业技术能力，具</w:t>
      </w:r>
      <w:r>
        <w:rPr>
          <w:rFonts w:hint="eastAsia" w:ascii="仿宋" w:hAnsi="仿宋" w:eastAsia="仿宋" w:cs="仿宋"/>
          <w:color w:val="auto"/>
          <w:sz w:val="24"/>
          <w:highlight w:val="none"/>
          <w:shd w:val="clear" w:color="auto" w:fill="auto"/>
          <w:lang w:val="zh-CN"/>
        </w:rPr>
        <w:t>有依法缴纳税收和社会保障金的良好记录</w:t>
      </w:r>
      <w:r>
        <w:rPr>
          <w:rFonts w:hint="eastAsia" w:ascii="仿宋" w:hAnsi="仿宋" w:eastAsia="仿宋" w:cs="仿宋"/>
          <w:color w:val="auto"/>
          <w:sz w:val="24"/>
          <w:highlight w:val="none"/>
          <w:shd w:val="clear" w:color="auto" w:fill="auto"/>
        </w:rPr>
        <w:t>，参加本项目采购活动前三年内无重大违法活动记录。</w:t>
      </w:r>
    </w:p>
    <w:p w14:paraId="115BBE2C">
      <w:pPr>
        <w:pageBreakBefore w:val="0"/>
        <w:tabs>
          <w:tab w:val="left" w:pos="6300"/>
        </w:tabs>
        <w:kinsoku/>
        <w:topLinePunct w:val="0"/>
        <w:bidi w:val="0"/>
        <w:snapToGrid w:val="0"/>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2.我方未列入在信用中国网站（www.creditchina.gov.cn）“失信被执行人”、“重大税收违法案件当事人名单”中，也未列入中国政府采购网（www.ccgp.gov.cn）“政府采购严重违法失信行为记录名单”中。</w:t>
      </w:r>
    </w:p>
    <w:p w14:paraId="0DDC071D">
      <w:pPr>
        <w:pageBreakBefore w:val="0"/>
        <w:tabs>
          <w:tab w:val="left" w:pos="6300"/>
        </w:tabs>
        <w:kinsoku/>
        <w:topLinePunct w:val="0"/>
        <w:bidi w:val="0"/>
        <w:snapToGrid w:val="0"/>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3.我方在采购项目评审（评标）环节结束后，随时接受采购人、采购代理机构的检查验证，配合提供相关证明材料，证明符合</w:t>
      </w:r>
      <w:r>
        <w:rPr>
          <w:rFonts w:hint="eastAsia" w:ascii="仿宋" w:hAnsi="仿宋" w:eastAsia="仿宋" w:cs="仿宋"/>
          <w:color w:val="auto"/>
          <w:sz w:val="24"/>
          <w:highlight w:val="none"/>
          <w:shd w:val="clear" w:color="auto" w:fill="auto"/>
          <w:lang w:eastAsia="zh-CN"/>
        </w:rPr>
        <w:t>比选采购文件</w:t>
      </w:r>
      <w:r>
        <w:rPr>
          <w:rFonts w:hint="eastAsia" w:ascii="仿宋" w:hAnsi="仿宋" w:eastAsia="仿宋" w:cs="仿宋"/>
          <w:color w:val="auto"/>
          <w:sz w:val="24"/>
          <w:highlight w:val="none"/>
          <w:shd w:val="clear" w:color="auto" w:fill="auto"/>
        </w:rPr>
        <w:t>规定的</w:t>
      </w: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基本资格条件。</w:t>
      </w:r>
    </w:p>
    <w:p w14:paraId="1AD469C5">
      <w:pPr>
        <w:pageBreakBefore w:val="0"/>
        <w:tabs>
          <w:tab w:val="left" w:pos="6300"/>
        </w:tabs>
        <w:kinsoku/>
        <w:topLinePunct w:val="0"/>
        <w:bidi w:val="0"/>
        <w:snapToGrid w:val="0"/>
        <w:spacing w:line="360" w:lineRule="auto"/>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我方对以上承诺负全部法律责任。</w:t>
      </w:r>
    </w:p>
    <w:p w14:paraId="1C058550">
      <w:pPr>
        <w:pageBreakBefore w:val="0"/>
        <w:tabs>
          <w:tab w:val="left" w:pos="6300"/>
        </w:tabs>
        <w:kinsoku/>
        <w:topLinePunct w:val="0"/>
        <w:bidi w:val="0"/>
        <w:snapToGrid w:val="0"/>
        <w:spacing w:line="360" w:lineRule="auto"/>
        <w:ind w:firstLine="480" w:firstLineChars="200"/>
        <w:rPr>
          <w:rFonts w:hint="eastAsia" w:ascii="仿宋" w:hAnsi="仿宋" w:eastAsia="仿宋" w:cs="仿宋"/>
          <w:color w:val="auto"/>
          <w:highlight w:val="none"/>
          <w:shd w:val="clear" w:color="auto" w:fill="auto"/>
        </w:rPr>
      </w:pPr>
      <w:r>
        <w:rPr>
          <w:rFonts w:hint="eastAsia" w:ascii="仿宋" w:hAnsi="仿宋" w:eastAsia="仿宋" w:cs="仿宋"/>
          <w:color w:val="auto"/>
          <w:sz w:val="24"/>
          <w:highlight w:val="none"/>
          <w:shd w:val="clear" w:color="auto" w:fill="auto"/>
        </w:rPr>
        <w:t>特此承诺</w:t>
      </w:r>
      <w:r>
        <w:rPr>
          <w:rFonts w:hint="eastAsia" w:ascii="仿宋" w:hAnsi="仿宋" w:eastAsia="仿宋" w:cs="仿宋"/>
          <w:color w:val="auto"/>
          <w:highlight w:val="none"/>
          <w:shd w:val="clear" w:color="auto" w:fill="auto"/>
        </w:rPr>
        <w:t>。</w:t>
      </w:r>
    </w:p>
    <w:p w14:paraId="009C19A9">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78AA7CD5">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0201763D">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p>
    <w:p w14:paraId="19316EA6">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w:t>
      </w:r>
      <w:r>
        <w:rPr>
          <w:rFonts w:hint="eastAsia" w:ascii="仿宋" w:hAnsi="仿宋" w:eastAsia="仿宋" w:cs="仿宋"/>
          <w:color w:val="auto"/>
          <w:highlight w:val="none"/>
          <w:shd w:val="clear" w:color="auto" w:fill="auto"/>
          <w:lang w:eastAsia="zh-CN"/>
        </w:rPr>
        <w:t>供应商公章</w:t>
      </w:r>
      <w:r>
        <w:rPr>
          <w:rFonts w:hint="eastAsia" w:ascii="仿宋" w:hAnsi="仿宋" w:eastAsia="仿宋" w:cs="仿宋"/>
          <w:color w:val="auto"/>
          <w:highlight w:val="none"/>
          <w:shd w:val="clear" w:color="auto" w:fill="auto"/>
        </w:rPr>
        <w:t>）</w:t>
      </w:r>
    </w:p>
    <w:p w14:paraId="293150E5">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1D9D6CB7">
      <w:pPr>
        <w:pageBreakBefore w:val="0"/>
        <w:widowControl w:val="0"/>
        <w:tabs>
          <w:tab w:val="left" w:pos="6300"/>
        </w:tabs>
        <w:kinsoku/>
        <w:topLinePunct w:val="0"/>
        <w:bidi w:val="0"/>
        <w:snapToGrid w:val="0"/>
        <w:spacing w:line="360" w:lineRule="auto"/>
        <w:ind w:firstLine="0" w:firstLineChars="0"/>
        <w:jc w:val="both"/>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br w:type="page"/>
      </w:r>
      <w:bookmarkStart w:id="331" w:name="_Toc9726"/>
    </w:p>
    <w:p w14:paraId="25529C02">
      <w:pPr>
        <w:pageBreakBefore w:val="0"/>
        <w:widowControl w:val="0"/>
        <w:tabs>
          <w:tab w:val="left" w:pos="6300"/>
        </w:tabs>
        <w:kinsoku/>
        <w:topLinePunct w:val="0"/>
        <w:bidi w:val="0"/>
        <w:snapToGrid w:val="0"/>
        <w:spacing w:line="360" w:lineRule="auto"/>
        <w:ind w:firstLine="0" w:firstLineChars="0"/>
        <w:jc w:val="both"/>
        <w:rPr>
          <w:rFonts w:hint="eastAsia" w:ascii="仿宋" w:hAnsi="仿宋" w:eastAsia="仿宋" w:cs="仿宋"/>
          <w:b/>
          <w:color w:val="auto"/>
          <w:highlight w:val="none"/>
          <w:shd w:val="clear" w:color="auto" w:fill="auto"/>
        </w:rPr>
      </w:pPr>
      <w:r>
        <w:rPr>
          <w:rFonts w:hint="eastAsia" w:ascii="仿宋" w:hAnsi="仿宋" w:eastAsia="仿宋" w:cs="仿宋"/>
          <w:b/>
          <w:color w:val="auto"/>
          <w:highlight w:val="none"/>
          <w:shd w:val="clear" w:color="auto" w:fill="auto"/>
        </w:rPr>
        <w:t>六、技术条款差异表</w:t>
      </w:r>
      <w:bookmarkEnd w:id="331"/>
    </w:p>
    <w:p w14:paraId="7CB6ED42">
      <w:pPr>
        <w:pStyle w:val="6"/>
        <w:pageBreakBefore w:val="0"/>
        <w:numPr>
          <w:ilvl w:val="0"/>
          <w:numId w:val="0"/>
        </w:numPr>
        <w:kinsoku/>
        <w:topLinePunct w:val="0"/>
        <w:bidi w:val="0"/>
        <w:spacing w:before="32" w:after="32" w:line="360" w:lineRule="auto"/>
        <w:ind w:left="947" w:leftChars="0"/>
        <w:jc w:val="center"/>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技术条款差异表</w:t>
      </w:r>
    </w:p>
    <w:p w14:paraId="7E60A2B2">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tblGrid>
      <w:tr w14:paraId="778C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noWrap w:val="0"/>
            <w:vAlign w:val="center"/>
          </w:tcPr>
          <w:p w14:paraId="58DF7E4A">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序号</w:t>
            </w:r>
          </w:p>
        </w:tc>
        <w:tc>
          <w:tcPr>
            <w:tcW w:w="2289" w:type="dxa"/>
            <w:noWrap w:val="0"/>
            <w:vAlign w:val="center"/>
          </w:tcPr>
          <w:p w14:paraId="07EA7C1C">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采购技术要求</w:t>
            </w:r>
          </w:p>
        </w:tc>
        <w:tc>
          <w:tcPr>
            <w:tcW w:w="2840" w:type="dxa"/>
            <w:noWrap w:val="0"/>
            <w:vAlign w:val="center"/>
          </w:tcPr>
          <w:p w14:paraId="6F1E79C2">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响应技术应答</w:t>
            </w:r>
          </w:p>
        </w:tc>
        <w:tc>
          <w:tcPr>
            <w:tcW w:w="1646" w:type="dxa"/>
            <w:noWrap w:val="0"/>
            <w:vAlign w:val="center"/>
          </w:tcPr>
          <w:p w14:paraId="09F7DD57">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差异说明</w:t>
            </w:r>
          </w:p>
        </w:tc>
      </w:tr>
      <w:tr w14:paraId="449F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5E68EF91">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7BA909B3">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732C0AF7">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468A5CD2">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716D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5DE95560">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02383122">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7E94E90E">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33784B19">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53E4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10B56F84">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7C163985">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60564E62">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229DF5E8">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048F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793C2418">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491EB926">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75A93B82">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4296D5A9">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4D56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0A5B7E63">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759E1181">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25072F33">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5A408A24">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588C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394BF596">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76A8F9B0">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5F3F4760">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49224E5B">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06FC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7519901D">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4CB47C1D">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2E3ED7B4">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06E6EA1B">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6849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3F131471">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790B2AE6">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5E076AAB">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65592728">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6000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365060D1">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3A4F34BA">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71F23818">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4B8E7A77">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5D2B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2DC182AB">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1B05E068">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24F7609F">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5BEBE874">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2B38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noWrap w:val="0"/>
            <w:vAlign w:val="center"/>
          </w:tcPr>
          <w:p w14:paraId="6C5F51A2">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289" w:type="dxa"/>
            <w:noWrap w:val="0"/>
            <w:vAlign w:val="center"/>
          </w:tcPr>
          <w:p w14:paraId="111EF465">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840" w:type="dxa"/>
            <w:noWrap w:val="0"/>
            <w:vAlign w:val="center"/>
          </w:tcPr>
          <w:p w14:paraId="65D446AB">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46" w:type="dxa"/>
            <w:noWrap w:val="0"/>
            <w:vAlign w:val="center"/>
          </w:tcPr>
          <w:p w14:paraId="7A3FD391">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bl>
    <w:p w14:paraId="4CFA1FD1">
      <w:pPr>
        <w:pStyle w:val="224"/>
        <w:pageBreakBefore w:val="0"/>
        <w:kinsoku/>
        <w:topLinePunct w:val="0"/>
        <w:bidi w:val="0"/>
        <w:spacing w:line="360" w:lineRule="auto"/>
        <w:ind w:firstLine="600" w:firstLineChars="25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 xml:space="preserve">：                                      法定代表人或授权代表： </w:t>
      </w:r>
    </w:p>
    <w:p w14:paraId="6D5455BA">
      <w:pPr>
        <w:pStyle w:val="224"/>
        <w:pageBreakBefore w:val="0"/>
        <w:kinsoku/>
        <w:topLinePunct w:val="0"/>
        <w:bidi w:val="0"/>
        <w:spacing w:line="360" w:lineRule="auto"/>
        <w:ind w:firstLine="240" w:firstLineChars="10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供应商公章</w:t>
      </w:r>
      <w:r>
        <w:rPr>
          <w:rFonts w:hint="eastAsia" w:ascii="仿宋" w:hAnsi="仿宋" w:eastAsia="仿宋" w:cs="仿宋"/>
          <w:color w:val="auto"/>
          <w:highlight w:val="none"/>
          <w:shd w:val="clear" w:color="auto" w:fill="auto"/>
        </w:rPr>
        <w:t>）                                      （签字或盖章）</w:t>
      </w:r>
    </w:p>
    <w:p w14:paraId="1CCD6694">
      <w:pPr>
        <w:pStyle w:val="224"/>
        <w:pageBreakBefore w:val="0"/>
        <w:kinsoku/>
        <w:topLinePunct w:val="0"/>
        <w:bidi w:val="0"/>
        <w:spacing w:line="360" w:lineRule="auto"/>
        <w:ind w:left="480" w:hanging="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4AA581B9">
      <w:pPr>
        <w:pStyle w:val="224"/>
        <w:pageBreakBefore w:val="0"/>
        <w:kinsoku/>
        <w:topLinePunct w:val="0"/>
        <w:bidi w:val="0"/>
        <w:spacing w:line="360" w:lineRule="auto"/>
        <w:ind w:left="560" w:leftChars="200"/>
        <w:rPr>
          <w:rFonts w:hint="eastAsia" w:ascii="仿宋" w:hAnsi="仿宋" w:eastAsia="仿宋" w:cs="仿宋"/>
          <w:b w:val="0"/>
          <w:color w:val="auto"/>
          <w:kern w:val="2"/>
          <w:sz w:val="24"/>
          <w:szCs w:val="24"/>
          <w:highlight w:val="none"/>
          <w:shd w:val="clear" w:color="auto" w:fill="auto"/>
          <w:lang w:val="en-US" w:eastAsia="zh-CN" w:bidi="ar-SA"/>
        </w:rPr>
      </w:pPr>
      <w:r>
        <w:rPr>
          <w:rFonts w:hint="eastAsia" w:ascii="仿宋" w:hAnsi="仿宋" w:eastAsia="仿宋" w:cs="仿宋"/>
          <w:b w:val="0"/>
          <w:color w:val="auto"/>
          <w:kern w:val="2"/>
          <w:sz w:val="24"/>
          <w:szCs w:val="24"/>
          <w:highlight w:val="none"/>
          <w:shd w:val="clear" w:color="auto" w:fill="auto"/>
          <w:lang w:val="en-US" w:eastAsia="zh-CN" w:bidi="ar-SA"/>
        </w:rPr>
        <w:t>注：</w:t>
      </w:r>
    </w:p>
    <w:p w14:paraId="7034077A">
      <w:pPr>
        <w:pageBreakBefore w:val="0"/>
        <w:kinsoku/>
        <w:topLinePunct w:val="0"/>
        <w:bidi w:val="0"/>
        <w:spacing w:line="360" w:lineRule="auto"/>
        <w:ind w:firstLine="480"/>
        <w:rPr>
          <w:rFonts w:hint="eastAsia" w:ascii="仿宋" w:hAnsi="仿宋" w:eastAsia="仿宋" w:cs="仿宋"/>
          <w:b w:val="0"/>
          <w:color w:val="auto"/>
          <w:kern w:val="2"/>
          <w:sz w:val="24"/>
          <w:szCs w:val="24"/>
          <w:highlight w:val="none"/>
          <w:shd w:val="clear" w:color="auto" w:fill="auto"/>
          <w:lang w:val="en-US" w:eastAsia="zh-CN" w:bidi="ar-SA"/>
        </w:rPr>
      </w:pPr>
      <w:r>
        <w:rPr>
          <w:rFonts w:hint="eastAsia" w:ascii="仿宋" w:hAnsi="仿宋" w:eastAsia="仿宋" w:cs="仿宋"/>
          <w:b w:val="0"/>
          <w:color w:val="auto"/>
          <w:kern w:val="2"/>
          <w:sz w:val="24"/>
          <w:szCs w:val="24"/>
          <w:highlight w:val="none"/>
          <w:shd w:val="clear" w:color="auto" w:fill="auto"/>
          <w:lang w:val="en-US" w:eastAsia="zh-CN" w:bidi="ar-SA"/>
        </w:rPr>
        <w:t>1、本表即为对本项目“第二篇、项目技术要求”所列技术要求进行比较和响应；</w:t>
      </w:r>
    </w:p>
    <w:p w14:paraId="40E0FADB">
      <w:pPr>
        <w:pageBreakBefore w:val="0"/>
        <w:kinsoku/>
        <w:topLinePunct w:val="0"/>
        <w:bidi w:val="0"/>
        <w:spacing w:line="360" w:lineRule="auto"/>
        <w:ind w:firstLine="480"/>
        <w:rPr>
          <w:rFonts w:hint="eastAsia" w:ascii="仿宋" w:hAnsi="仿宋" w:eastAsia="仿宋" w:cs="仿宋"/>
          <w:b w:val="0"/>
          <w:color w:val="auto"/>
          <w:kern w:val="2"/>
          <w:sz w:val="24"/>
          <w:szCs w:val="24"/>
          <w:highlight w:val="none"/>
          <w:shd w:val="clear" w:color="auto" w:fill="auto"/>
          <w:lang w:val="en-US" w:eastAsia="zh-CN" w:bidi="ar-SA"/>
        </w:rPr>
      </w:pPr>
      <w:r>
        <w:rPr>
          <w:rFonts w:hint="eastAsia" w:ascii="仿宋" w:hAnsi="仿宋" w:eastAsia="仿宋" w:cs="仿宋"/>
          <w:b w:val="0"/>
          <w:color w:val="auto"/>
          <w:kern w:val="2"/>
          <w:sz w:val="24"/>
          <w:szCs w:val="24"/>
          <w:highlight w:val="none"/>
          <w:shd w:val="clear" w:color="auto" w:fill="auto"/>
          <w:lang w:val="en-US" w:eastAsia="zh-CN" w:bidi="ar-SA"/>
        </w:rPr>
        <w:t>2、该表必须按照采购文件要求如实填写，根据响应情况在“差异说明”项填写正偏离或负偏离及详细偏离情况，完全符合的填写“无差异”；</w:t>
      </w:r>
    </w:p>
    <w:p w14:paraId="4D420EAB">
      <w:pPr>
        <w:pageBreakBefore w:val="0"/>
        <w:kinsoku/>
        <w:topLinePunct w:val="0"/>
        <w:bidi w:val="0"/>
        <w:spacing w:line="360" w:lineRule="auto"/>
        <w:ind w:firstLine="480"/>
        <w:rPr>
          <w:rFonts w:hint="eastAsia" w:ascii="仿宋" w:hAnsi="仿宋" w:eastAsia="仿宋" w:cs="仿宋"/>
          <w:b w:val="0"/>
          <w:color w:val="auto"/>
          <w:kern w:val="2"/>
          <w:sz w:val="24"/>
          <w:szCs w:val="24"/>
          <w:highlight w:val="none"/>
          <w:shd w:val="clear" w:color="auto" w:fill="auto"/>
          <w:lang w:val="en-US" w:eastAsia="zh-CN" w:bidi="ar-SA"/>
        </w:rPr>
      </w:pPr>
      <w:r>
        <w:rPr>
          <w:rFonts w:hint="eastAsia" w:ascii="仿宋" w:hAnsi="仿宋" w:eastAsia="仿宋" w:cs="仿宋"/>
          <w:b w:val="0"/>
          <w:color w:val="auto"/>
          <w:kern w:val="2"/>
          <w:sz w:val="24"/>
          <w:szCs w:val="24"/>
          <w:highlight w:val="none"/>
          <w:shd w:val="clear" w:color="auto" w:fill="auto"/>
          <w:lang w:val="en-US" w:eastAsia="zh-CN" w:bidi="ar-SA"/>
        </w:rPr>
        <w:t>3、该表可扩展，并逐页签字或盖章</w:t>
      </w:r>
    </w:p>
    <w:p w14:paraId="04413071">
      <w:pPr>
        <w:pageBreakBefore w:val="0"/>
        <w:kinsoku/>
        <w:topLinePunct w:val="0"/>
        <w:bidi w:val="0"/>
        <w:spacing w:line="360" w:lineRule="auto"/>
        <w:ind w:firstLine="480"/>
        <w:rPr>
          <w:rFonts w:hint="eastAsia" w:ascii="仿宋" w:hAnsi="仿宋" w:eastAsia="仿宋" w:cs="仿宋"/>
          <w:b w:val="0"/>
          <w:color w:val="auto"/>
          <w:kern w:val="2"/>
          <w:sz w:val="24"/>
          <w:szCs w:val="24"/>
          <w:highlight w:val="none"/>
          <w:shd w:val="clear" w:color="auto" w:fill="auto"/>
          <w:lang w:val="en-US" w:eastAsia="zh-CN" w:bidi="ar-SA"/>
        </w:rPr>
      </w:pPr>
      <w:r>
        <w:rPr>
          <w:rFonts w:hint="eastAsia" w:ascii="仿宋" w:hAnsi="仿宋" w:eastAsia="仿宋" w:cs="仿宋"/>
          <w:b w:val="0"/>
          <w:color w:val="auto"/>
          <w:kern w:val="2"/>
          <w:sz w:val="24"/>
          <w:szCs w:val="24"/>
          <w:highlight w:val="none"/>
          <w:shd w:val="clear" w:color="auto" w:fill="auto"/>
          <w:lang w:val="en-US" w:eastAsia="zh-CN" w:bidi="ar-SA"/>
        </w:rPr>
        <w:t>4、可附相关技术支撑材料。（格式自定）</w:t>
      </w:r>
    </w:p>
    <w:p w14:paraId="18138A54">
      <w:pPr>
        <w:pageBreakBefore w:val="0"/>
        <w:kinsoku/>
        <w:topLinePunct w:val="0"/>
        <w:bidi w:val="0"/>
        <w:spacing w:line="360" w:lineRule="auto"/>
        <w:ind w:firstLine="480"/>
        <w:rPr>
          <w:rFonts w:hint="eastAsia" w:ascii="仿宋" w:hAnsi="仿宋" w:eastAsia="仿宋" w:cs="仿宋"/>
          <w:b w:val="0"/>
          <w:color w:val="auto"/>
          <w:kern w:val="2"/>
          <w:sz w:val="24"/>
          <w:szCs w:val="24"/>
          <w:highlight w:val="none"/>
          <w:shd w:val="clear" w:color="auto" w:fill="auto"/>
          <w:lang w:val="en-US" w:eastAsia="zh-CN" w:bidi="ar-SA"/>
        </w:rPr>
      </w:pPr>
      <w:r>
        <w:rPr>
          <w:rFonts w:hint="eastAsia" w:ascii="仿宋" w:hAnsi="仿宋" w:eastAsia="仿宋" w:cs="仿宋"/>
          <w:b w:val="0"/>
          <w:color w:val="auto"/>
          <w:kern w:val="2"/>
          <w:sz w:val="24"/>
          <w:szCs w:val="24"/>
          <w:highlight w:val="none"/>
          <w:shd w:val="clear" w:color="auto" w:fill="auto"/>
          <w:lang w:val="en-US" w:eastAsia="zh-CN" w:bidi="ar-SA"/>
        </w:rPr>
        <w:t>5、若“响应情况”栏中仅填写“无偏离”或“有偏离”等内容而未作实质性参数描述，该供应商将失去成为成交供应商的资格，仅保留其合格供应商的身份。</w:t>
      </w:r>
    </w:p>
    <w:p w14:paraId="18F3B8FB">
      <w:pPr>
        <w:pStyle w:val="5"/>
        <w:pageBreakBefore w:val="0"/>
        <w:kinsoku/>
        <w:topLinePunct w:val="0"/>
        <w:bidi w:val="0"/>
        <w:spacing w:before="65" w:after="65" w:line="360" w:lineRule="auto"/>
        <w:ind w:firstLine="182"/>
        <w:jc w:val="left"/>
        <w:rPr>
          <w:rFonts w:hint="eastAsia" w:ascii="仿宋" w:hAnsi="仿宋" w:eastAsia="仿宋" w:cs="仿宋"/>
          <w:color w:val="auto"/>
          <w:sz w:val="24"/>
          <w:szCs w:val="24"/>
          <w:highlight w:val="none"/>
          <w:shd w:val="clear" w:color="auto" w:fill="auto"/>
        </w:rPr>
      </w:pPr>
      <w:bookmarkStart w:id="332" w:name="_Toc4879"/>
      <w:r>
        <w:rPr>
          <w:rFonts w:hint="eastAsia" w:ascii="仿宋" w:hAnsi="仿宋" w:eastAsia="仿宋" w:cs="仿宋"/>
          <w:color w:val="auto"/>
          <w:sz w:val="24"/>
          <w:szCs w:val="24"/>
          <w:highlight w:val="none"/>
          <w:shd w:val="clear" w:color="auto" w:fill="auto"/>
        </w:rPr>
        <w:t>七、商务条款差异表</w:t>
      </w:r>
      <w:bookmarkEnd w:id="332"/>
    </w:p>
    <w:p w14:paraId="53F3D593">
      <w:pPr>
        <w:pStyle w:val="6"/>
        <w:pageBreakBefore w:val="0"/>
        <w:numPr>
          <w:ilvl w:val="0"/>
          <w:numId w:val="0"/>
        </w:numPr>
        <w:kinsoku/>
        <w:topLinePunct w:val="0"/>
        <w:bidi w:val="0"/>
        <w:spacing w:before="32" w:after="32" w:line="360" w:lineRule="auto"/>
        <w:ind w:left="947" w:leftChars="0"/>
        <w:jc w:val="center"/>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商务条款差异表</w:t>
      </w:r>
    </w:p>
    <w:p w14:paraId="6CACAE2A">
      <w:pPr>
        <w:pageBreakBefore w:val="0"/>
        <w:kinsoku/>
        <w:topLinePunct w:val="0"/>
        <w:bidi w:val="0"/>
        <w:spacing w:line="360" w:lineRule="auto"/>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采购项目名称：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tblGrid>
      <w:tr w14:paraId="22E3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noWrap w:val="0"/>
            <w:vAlign w:val="center"/>
          </w:tcPr>
          <w:p w14:paraId="19AF96E6">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序号</w:t>
            </w:r>
          </w:p>
        </w:tc>
        <w:tc>
          <w:tcPr>
            <w:tcW w:w="2338" w:type="dxa"/>
            <w:noWrap w:val="0"/>
            <w:vAlign w:val="center"/>
          </w:tcPr>
          <w:p w14:paraId="3A2698C1">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采购商务要求</w:t>
            </w:r>
          </w:p>
        </w:tc>
        <w:tc>
          <w:tcPr>
            <w:tcW w:w="2902" w:type="dxa"/>
            <w:noWrap w:val="0"/>
            <w:vAlign w:val="center"/>
          </w:tcPr>
          <w:p w14:paraId="708ECBD7">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响应商务应答</w:t>
            </w:r>
          </w:p>
        </w:tc>
        <w:tc>
          <w:tcPr>
            <w:tcW w:w="1680" w:type="dxa"/>
            <w:noWrap w:val="0"/>
            <w:vAlign w:val="center"/>
          </w:tcPr>
          <w:p w14:paraId="4CB7670A">
            <w:pPr>
              <w:pageBreakBefore w:val="0"/>
              <w:widowControl w:val="0"/>
              <w:tabs>
                <w:tab w:val="left" w:pos="6300"/>
              </w:tabs>
              <w:kinsoku/>
              <w:topLinePunct w:val="0"/>
              <w:bidi w:val="0"/>
              <w:spacing w:line="360" w:lineRule="auto"/>
              <w:ind w:firstLine="210" w:firstLineChars="0"/>
              <w:jc w:val="center"/>
              <w:rPr>
                <w:rFonts w:hint="eastAsia"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rPr>
              <w:t>差异说明</w:t>
            </w:r>
          </w:p>
        </w:tc>
      </w:tr>
      <w:tr w14:paraId="4BB8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76ED2643">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1D4091E2">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3425CB6B">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5C17CC6C">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r>
      <w:tr w14:paraId="2398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4DAFDF7F">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5E758655">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18612EDD">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0B35D2CB">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r>
      <w:tr w14:paraId="0145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1AB56BF1">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23DDA157">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2E7C04E7">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546DACC3">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r>
      <w:tr w14:paraId="3EE4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63A5B562">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53FC0068">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79E7E9F7">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25A53E55">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r>
      <w:tr w14:paraId="36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7309F69B">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7759869D">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1424A044">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3483560E">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r>
      <w:tr w14:paraId="35B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3FD51039">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2311EA95">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6C6C2839">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4824E67C">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r>
      <w:tr w14:paraId="51E3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1788128A">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60E57C16">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1235BAFA">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2713959F">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r>
      <w:tr w14:paraId="087B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7D556A8E">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0AD3BC78">
            <w:pPr>
              <w:pageBreakBefore w:val="0"/>
              <w:widowControl w:val="0"/>
              <w:tabs>
                <w:tab w:val="left" w:pos="6300"/>
              </w:tabs>
              <w:kinsoku/>
              <w:topLinePunct w:val="0"/>
              <w:bidi w:val="0"/>
              <w:spacing w:line="360" w:lineRule="auto"/>
              <w:ind w:firstLine="42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19BB97F1">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72EB1053">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06DB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4FA9A72A">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41128E98">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57B74676">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3BB37097">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698D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4963CE6D">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5686B3CD">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23D14350">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47C5A4E0">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r w14:paraId="0767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noWrap w:val="0"/>
            <w:vAlign w:val="center"/>
          </w:tcPr>
          <w:p w14:paraId="2A85CE62">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338" w:type="dxa"/>
            <w:noWrap w:val="0"/>
            <w:vAlign w:val="center"/>
          </w:tcPr>
          <w:p w14:paraId="08D33BB9">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2902" w:type="dxa"/>
            <w:noWrap w:val="0"/>
            <w:vAlign w:val="center"/>
          </w:tcPr>
          <w:p w14:paraId="46080DF3">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c>
          <w:tcPr>
            <w:tcW w:w="1680" w:type="dxa"/>
            <w:noWrap w:val="0"/>
            <w:vAlign w:val="center"/>
          </w:tcPr>
          <w:p w14:paraId="1ED8437B">
            <w:pPr>
              <w:pageBreakBefore w:val="0"/>
              <w:widowControl w:val="0"/>
              <w:tabs>
                <w:tab w:val="left" w:pos="6300"/>
              </w:tabs>
              <w:kinsoku/>
              <w:topLinePunct w:val="0"/>
              <w:bidi w:val="0"/>
              <w:spacing w:line="360" w:lineRule="auto"/>
              <w:ind w:firstLine="0" w:firstLineChars="0"/>
              <w:jc w:val="center"/>
              <w:rPr>
                <w:rFonts w:hint="eastAsia" w:ascii="仿宋" w:hAnsi="仿宋" w:eastAsia="仿宋" w:cs="仿宋"/>
                <w:color w:val="auto"/>
                <w:sz w:val="21"/>
                <w:szCs w:val="21"/>
                <w:highlight w:val="none"/>
                <w:shd w:val="clear" w:color="auto" w:fill="auto"/>
              </w:rPr>
            </w:pPr>
          </w:p>
        </w:tc>
      </w:tr>
    </w:tbl>
    <w:p w14:paraId="572677E6">
      <w:pPr>
        <w:pStyle w:val="224"/>
        <w:pageBreakBefore w:val="0"/>
        <w:kinsoku/>
        <w:topLinePunct w:val="0"/>
        <w:bidi w:val="0"/>
        <w:spacing w:line="360" w:lineRule="auto"/>
        <w:ind w:firstLine="480" w:firstLineChars="20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 xml:space="preserve">：                                  法定代表人或授权代表： </w:t>
      </w:r>
    </w:p>
    <w:p w14:paraId="31D1F953">
      <w:pPr>
        <w:pStyle w:val="224"/>
        <w:pageBreakBefore w:val="0"/>
        <w:kinsoku/>
        <w:topLinePunct w:val="0"/>
        <w:bidi w:val="0"/>
        <w:spacing w:line="360" w:lineRule="auto"/>
        <w:ind w:firstLine="240" w:firstLineChars="10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供应商公章</w:t>
      </w:r>
      <w:r>
        <w:rPr>
          <w:rFonts w:hint="eastAsia" w:ascii="仿宋" w:hAnsi="仿宋" w:eastAsia="仿宋" w:cs="仿宋"/>
          <w:color w:val="auto"/>
          <w:highlight w:val="none"/>
          <w:shd w:val="clear" w:color="auto" w:fill="auto"/>
        </w:rPr>
        <w:t>）                                  （签字或盖章）</w:t>
      </w:r>
    </w:p>
    <w:p w14:paraId="5E15454E">
      <w:pPr>
        <w:pStyle w:val="224"/>
        <w:pageBreakBefore w:val="0"/>
        <w:kinsoku/>
        <w:topLinePunct w:val="0"/>
        <w:bidi w:val="0"/>
        <w:spacing w:line="360" w:lineRule="auto"/>
        <w:ind w:left="480" w:hanging="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79D37360">
      <w:pPr>
        <w:pStyle w:val="224"/>
        <w:pageBreakBefore w:val="0"/>
        <w:kinsoku/>
        <w:topLinePunct w:val="0"/>
        <w:bidi w:val="0"/>
        <w:spacing w:line="360" w:lineRule="auto"/>
        <w:ind w:firstLine="240" w:firstLineChars="100"/>
        <w:rPr>
          <w:rFonts w:hint="eastAsia"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注：</w:t>
      </w:r>
    </w:p>
    <w:p w14:paraId="0A89DB06">
      <w:pPr>
        <w:pStyle w:val="224"/>
        <w:pageBreakBefore w:val="0"/>
        <w:kinsoku/>
        <w:topLinePunct w:val="0"/>
        <w:bidi w:val="0"/>
        <w:spacing w:line="360" w:lineRule="auto"/>
        <w:ind w:firstLine="240" w:firstLineChars="100"/>
        <w:rPr>
          <w:rFonts w:hint="eastAsia"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1、本表即为对本项目“</w:t>
      </w:r>
      <w:r>
        <w:rPr>
          <w:rFonts w:hint="eastAsia" w:ascii="仿宋" w:hAnsi="仿宋" w:eastAsia="仿宋" w:cs="仿宋"/>
          <w:color w:val="auto"/>
          <w:highlight w:val="none"/>
          <w:shd w:val="clear" w:color="auto" w:fill="auto"/>
          <w:lang w:val="en-US" w:eastAsia="zh-CN"/>
        </w:rPr>
        <w:t>第三篇</w:t>
      </w:r>
      <w:r>
        <w:rPr>
          <w:rFonts w:hint="eastAsia" w:ascii="仿宋" w:hAnsi="仿宋" w:eastAsia="仿宋" w:cs="仿宋"/>
          <w:color w:val="auto"/>
          <w:highlight w:val="none"/>
          <w:shd w:val="clear" w:color="auto" w:fill="auto"/>
          <w:lang w:eastAsia="zh-CN"/>
        </w:rPr>
        <w:t>、项目商务要求”所列商务要求进行比较和响应；</w:t>
      </w:r>
    </w:p>
    <w:p w14:paraId="575A781F">
      <w:pPr>
        <w:pStyle w:val="224"/>
        <w:pageBreakBefore w:val="0"/>
        <w:kinsoku/>
        <w:topLinePunct w:val="0"/>
        <w:bidi w:val="0"/>
        <w:spacing w:line="360" w:lineRule="auto"/>
        <w:ind w:firstLine="240" w:firstLineChars="100"/>
        <w:rPr>
          <w:rFonts w:hint="eastAsia"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2、该表必须按照</w:t>
      </w:r>
      <w:r>
        <w:rPr>
          <w:rFonts w:hint="eastAsia" w:ascii="仿宋" w:hAnsi="仿宋" w:eastAsia="仿宋" w:cs="仿宋"/>
          <w:color w:val="auto"/>
          <w:highlight w:val="none"/>
          <w:shd w:val="clear" w:color="auto" w:fill="auto"/>
          <w:lang w:val="en-US" w:eastAsia="zh-CN"/>
        </w:rPr>
        <w:t>采购文件</w:t>
      </w:r>
      <w:r>
        <w:rPr>
          <w:rFonts w:hint="eastAsia" w:ascii="仿宋" w:hAnsi="仿宋" w:eastAsia="仿宋" w:cs="仿宋"/>
          <w:color w:val="auto"/>
          <w:highlight w:val="none"/>
          <w:shd w:val="clear" w:color="auto" w:fill="auto"/>
          <w:lang w:eastAsia="zh-CN"/>
        </w:rPr>
        <w:t>要求如实填写，根据响应情况在“差异说明”项填写正偏离或负偏离及详细偏离情况，完全符合的填写“无差异”；</w:t>
      </w:r>
    </w:p>
    <w:p w14:paraId="0AAD180B">
      <w:pPr>
        <w:pStyle w:val="224"/>
        <w:pageBreakBefore w:val="0"/>
        <w:kinsoku/>
        <w:topLinePunct w:val="0"/>
        <w:bidi w:val="0"/>
        <w:spacing w:line="360" w:lineRule="auto"/>
        <w:ind w:firstLine="240" w:firstLineChars="100"/>
        <w:rPr>
          <w:rFonts w:hint="eastAsia"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3、该表可扩展，并逐页签字或盖章</w:t>
      </w:r>
    </w:p>
    <w:p w14:paraId="69DE0522">
      <w:pPr>
        <w:pStyle w:val="224"/>
        <w:pageBreakBefore w:val="0"/>
        <w:kinsoku/>
        <w:topLinePunct w:val="0"/>
        <w:bidi w:val="0"/>
        <w:spacing w:line="360" w:lineRule="auto"/>
        <w:ind w:firstLine="240" w:firstLineChars="100"/>
        <w:rPr>
          <w:rFonts w:hint="eastAsia"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4.可附相关支撑材料。（格式自定）</w:t>
      </w:r>
    </w:p>
    <w:p w14:paraId="3F986EF0">
      <w:pPr>
        <w:pStyle w:val="224"/>
        <w:pageBreakBefore w:val="0"/>
        <w:kinsoku/>
        <w:topLinePunct w:val="0"/>
        <w:bidi w:val="0"/>
        <w:spacing w:line="360" w:lineRule="auto"/>
        <w:ind w:firstLine="240" w:firstLineChars="100"/>
        <w:rPr>
          <w:rFonts w:hint="eastAsia"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lang w:eastAsia="zh-CN"/>
        </w:rPr>
        <w:t>5.若“响应情况”栏中仅填写“无偏离”或“有偏离”等内容而未作实质性描述，该供应商将失去成为成交供应商的资格，仅保留其合格供应商的身份。</w:t>
      </w:r>
    </w:p>
    <w:p w14:paraId="2CFBB306">
      <w:pPr>
        <w:keepNext/>
        <w:keepLines/>
        <w:pageBreakBefore w:val="0"/>
        <w:widowControl w:val="0"/>
        <w:kinsoku/>
        <w:topLinePunct w:val="0"/>
        <w:bidi w:val="0"/>
        <w:spacing w:line="360" w:lineRule="auto"/>
        <w:ind w:firstLine="0" w:firstLineChars="0"/>
        <w:jc w:val="both"/>
        <w:outlineLvl w:val="2"/>
        <w:rPr>
          <w:rFonts w:hint="eastAsia" w:ascii="仿宋" w:hAnsi="仿宋" w:eastAsia="仿宋" w:cs="仿宋"/>
          <w:b/>
          <w:color w:val="auto"/>
          <w:highlight w:val="none"/>
          <w:shd w:val="clear" w:color="auto" w:fill="auto"/>
        </w:rPr>
      </w:pPr>
    </w:p>
    <w:p w14:paraId="2EF2450A">
      <w:pPr>
        <w:pStyle w:val="35"/>
        <w:pageBreakBefore w:val="0"/>
        <w:kinsoku/>
        <w:topLinePunct w:val="0"/>
        <w:bidi w:val="0"/>
        <w:spacing w:line="360" w:lineRule="auto"/>
        <w:rPr>
          <w:rFonts w:hint="eastAsia"/>
        </w:rPr>
      </w:pPr>
    </w:p>
    <w:p w14:paraId="6671DC8D">
      <w:pPr>
        <w:keepNext/>
        <w:keepLines/>
        <w:pageBreakBefore w:val="0"/>
        <w:widowControl w:val="0"/>
        <w:kinsoku/>
        <w:topLinePunct w:val="0"/>
        <w:bidi w:val="0"/>
        <w:spacing w:line="360" w:lineRule="auto"/>
        <w:ind w:firstLine="0" w:firstLineChars="0"/>
        <w:jc w:val="both"/>
        <w:outlineLvl w:val="2"/>
        <w:rPr>
          <w:rFonts w:hint="eastAsia" w:ascii="仿宋" w:hAnsi="仿宋" w:eastAsia="仿宋" w:cs="仿宋"/>
          <w:b/>
          <w:color w:val="auto"/>
          <w:sz w:val="28"/>
          <w:szCs w:val="28"/>
          <w:highlight w:val="none"/>
          <w:shd w:val="clear" w:color="auto" w:fill="auto"/>
          <w:lang w:eastAsia="zh-CN"/>
        </w:rPr>
      </w:pPr>
      <w:r>
        <w:rPr>
          <w:rFonts w:hint="eastAsia" w:ascii="仿宋" w:hAnsi="仿宋" w:eastAsia="仿宋" w:cs="仿宋"/>
          <w:b/>
          <w:color w:val="auto"/>
          <w:highlight w:val="none"/>
          <w:shd w:val="clear" w:color="auto" w:fill="auto"/>
          <w:lang w:val="en-US" w:eastAsia="zh-CN"/>
        </w:rPr>
        <w:t>八</w:t>
      </w:r>
      <w:r>
        <w:rPr>
          <w:rFonts w:hint="eastAsia" w:ascii="仿宋" w:hAnsi="仿宋" w:eastAsia="仿宋" w:cs="仿宋"/>
          <w:b/>
          <w:color w:val="auto"/>
          <w:highlight w:val="none"/>
          <w:shd w:val="clear" w:color="auto" w:fill="auto"/>
        </w:rPr>
        <w:t>、</w:t>
      </w:r>
      <w:r>
        <w:rPr>
          <w:rFonts w:hint="eastAsia" w:ascii="仿宋" w:hAnsi="仿宋" w:eastAsia="仿宋" w:cs="仿宋"/>
          <w:b/>
          <w:color w:val="auto"/>
          <w:highlight w:val="none"/>
          <w:shd w:val="clear" w:color="auto" w:fill="auto"/>
          <w:lang w:val="en-US" w:eastAsia="zh-CN"/>
        </w:rPr>
        <w:t>技术</w:t>
      </w:r>
      <w:r>
        <w:rPr>
          <w:rFonts w:hint="eastAsia" w:ascii="仿宋" w:hAnsi="仿宋" w:eastAsia="仿宋" w:cs="仿宋"/>
          <w:b/>
          <w:color w:val="auto"/>
          <w:highlight w:val="none"/>
          <w:shd w:val="clear" w:color="auto" w:fill="auto"/>
          <w:lang w:eastAsia="zh-CN"/>
        </w:rPr>
        <w:t>资料</w:t>
      </w:r>
    </w:p>
    <w:p w14:paraId="732443D7">
      <w:pPr>
        <w:pageBreakBefore w:val="0"/>
        <w:widowControl w:val="0"/>
        <w:kinsoku/>
        <w:topLinePunct w:val="0"/>
        <w:bidi w:val="0"/>
        <w:spacing w:line="360" w:lineRule="auto"/>
        <w:ind w:firstLine="280" w:firstLineChars="100"/>
        <w:jc w:val="both"/>
        <w:rPr>
          <w:rFonts w:hint="default" w:ascii="仿宋" w:hAnsi="仿宋" w:eastAsia="仿宋" w:cs="仿宋"/>
          <w:color w:val="auto"/>
          <w:sz w:val="28"/>
          <w:szCs w:val="20"/>
          <w:highlight w:val="none"/>
          <w:shd w:val="clear" w:color="auto" w:fill="auto"/>
          <w:lang w:val="en-US" w:eastAsia="zh-CN"/>
        </w:rPr>
      </w:pPr>
      <w:r>
        <w:rPr>
          <w:rFonts w:hint="eastAsia" w:ascii="仿宋" w:hAnsi="仿宋" w:eastAsia="仿宋" w:cs="仿宋"/>
          <w:color w:val="auto"/>
          <w:sz w:val="28"/>
          <w:szCs w:val="20"/>
          <w:highlight w:val="none"/>
          <w:shd w:val="clear" w:color="auto" w:fill="auto"/>
          <w:lang w:val="en-US" w:eastAsia="zh-CN"/>
        </w:rPr>
        <w:t>按照采购文件以及工程量清单要求进行编制，格式自拟。</w:t>
      </w:r>
    </w:p>
    <w:p w14:paraId="7F271442">
      <w:pPr>
        <w:pageBreakBefore w:val="0"/>
        <w:widowControl w:val="0"/>
        <w:tabs>
          <w:tab w:val="left" w:pos="6300"/>
        </w:tabs>
        <w:kinsoku/>
        <w:topLinePunct w:val="0"/>
        <w:bidi w:val="0"/>
        <w:snapToGrid w:val="0"/>
        <w:spacing w:line="360" w:lineRule="auto"/>
        <w:ind w:firstLine="0" w:firstLineChars="0"/>
        <w:jc w:val="both"/>
        <w:rPr>
          <w:rFonts w:hint="eastAsia" w:ascii="仿宋" w:hAnsi="仿宋" w:eastAsia="仿宋" w:cs="仿宋"/>
          <w:b/>
          <w:bCs/>
          <w:color w:val="auto"/>
          <w:highlight w:val="none"/>
          <w:shd w:val="clear" w:color="auto" w:fill="auto"/>
        </w:rPr>
      </w:pPr>
    </w:p>
    <w:p w14:paraId="178AED37">
      <w:pPr>
        <w:pageBreakBefore w:val="0"/>
        <w:widowControl w:val="0"/>
        <w:tabs>
          <w:tab w:val="left" w:pos="6300"/>
        </w:tabs>
        <w:kinsoku/>
        <w:topLinePunct w:val="0"/>
        <w:bidi w:val="0"/>
        <w:snapToGrid w:val="0"/>
        <w:spacing w:line="360" w:lineRule="auto"/>
        <w:ind w:firstLine="0" w:firstLineChars="0"/>
        <w:jc w:val="center"/>
        <w:rPr>
          <w:rFonts w:hint="eastAsia" w:ascii="仿宋" w:hAnsi="仿宋" w:eastAsia="仿宋" w:cs="仿宋"/>
          <w:b/>
          <w:bCs/>
          <w:color w:val="auto"/>
          <w:highlight w:val="none"/>
          <w:shd w:val="clear" w:color="auto" w:fill="auto"/>
        </w:rPr>
      </w:pPr>
    </w:p>
    <w:p w14:paraId="7BA1965A">
      <w:pPr>
        <w:pageBreakBefore w:val="0"/>
        <w:widowControl w:val="0"/>
        <w:kinsoku/>
        <w:topLinePunct w:val="0"/>
        <w:bidi w:val="0"/>
        <w:spacing w:line="360" w:lineRule="auto"/>
        <w:ind w:firstLine="280" w:firstLineChars="100"/>
        <w:jc w:val="center"/>
        <w:rPr>
          <w:rFonts w:hint="eastAsia" w:ascii="仿宋" w:hAnsi="仿宋" w:eastAsia="仿宋" w:cs="仿宋"/>
          <w:color w:val="auto"/>
          <w:sz w:val="28"/>
          <w:szCs w:val="20"/>
          <w:highlight w:val="none"/>
          <w:shd w:val="clear" w:color="auto" w:fill="auto"/>
          <w:lang w:val="en-US" w:eastAsia="zh-CN"/>
        </w:rPr>
        <w:sectPr>
          <w:headerReference r:id="rId7" w:type="default"/>
          <w:footerReference r:id="rId8" w:type="default"/>
          <w:type w:val="nextColumn"/>
          <w:pgSz w:w="11907" w:h="16840"/>
          <w:pgMar w:top="1134" w:right="1191" w:bottom="1134" w:left="1304" w:header="964" w:footer="992" w:gutter="0"/>
          <w:pgNumType w:fmt="decimal"/>
          <w:cols w:space="720" w:num="1"/>
          <w:docGrid w:linePitch="380" w:charSpace="-5735"/>
        </w:sectPr>
      </w:pPr>
      <w:r>
        <w:rPr>
          <w:rFonts w:hint="eastAsia" w:ascii="仿宋" w:hAnsi="仿宋" w:eastAsia="仿宋" w:cs="仿宋"/>
          <w:color w:val="auto"/>
          <w:sz w:val="28"/>
          <w:szCs w:val="20"/>
          <w:highlight w:val="none"/>
          <w:shd w:val="clear" w:color="auto" w:fill="auto"/>
          <w:lang w:val="en-US" w:eastAsia="zh-CN"/>
        </w:rPr>
        <w:t>（正文结束）</w:t>
      </w:r>
    </w:p>
    <w:p w14:paraId="31E54AF4">
      <w:pPr>
        <w:pStyle w:val="228"/>
        <w:pageBreakBefore w:val="0"/>
        <w:kinsoku/>
        <w:topLinePunct w:val="0"/>
        <w:bidi w:val="0"/>
        <w:spacing w:line="360" w:lineRule="auto"/>
        <w:ind w:firstLine="480"/>
        <w:rPr>
          <w:rFonts w:hint="eastAsia" w:ascii="宋体" w:hAnsi="宋体" w:eastAsia="宋体" w:cs="宋体"/>
          <w:color w:val="auto"/>
        </w:rPr>
      </w:pPr>
      <w:bookmarkStart w:id="333" w:name="_Toc19889"/>
      <w:r>
        <w:rPr>
          <w:rFonts w:hint="eastAsia" w:ascii="宋体" w:hAnsi="宋体" w:eastAsia="宋体" w:cs="宋体"/>
          <w:color w:val="auto"/>
        </w:rPr>
        <w:t>附件一：投标人信息卡</w:t>
      </w:r>
      <w:bookmarkEnd w:id="333"/>
    </w:p>
    <w:p w14:paraId="5621F20B">
      <w:pPr>
        <w:pStyle w:val="230"/>
        <w:pageBreakBefore w:val="0"/>
        <w:kinsoku/>
        <w:topLinePunct w:val="0"/>
        <w:bidi w:val="0"/>
        <w:spacing w:line="360" w:lineRule="auto"/>
        <w:ind w:firstLine="480" w:firstLineChars="200"/>
        <w:rPr>
          <w:rFonts w:hint="eastAsia" w:ascii="宋体" w:eastAsia="宋体" w:cs="宋体"/>
          <w:color w:val="auto"/>
        </w:rPr>
      </w:pPr>
      <w:r>
        <w:rPr>
          <w:rFonts w:hint="eastAsia" w:ascii="宋体" w:eastAsia="宋体" w:cs="宋体"/>
          <w:color w:val="auto"/>
        </w:rPr>
        <w:t>项目名称：</w:t>
      </w:r>
    </w:p>
    <w:p w14:paraId="4FE18DD8">
      <w:pPr>
        <w:pStyle w:val="230"/>
        <w:pageBreakBefore w:val="0"/>
        <w:kinsoku/>
        <w:topLinePunct w:val="0"/>
        <w:bidi w:val="0"/>
        <w:spacing w:line="360" w:lineRule="auto"/>
        <w:ind w:firstLine="480" w:firstLineChars="200"/>
        <w:rPr>
          <w:rFonts w:hint="eastAsia" w:ascii="宋体" w:eastAsia="宋体" w:cs="宋体"/>
          <w:color w:val="auto"/>
        </w:rPr>
      </w:pPr>
      <w:r>
        <w:rPr>
          <w:rFonts w:hint="eastAsia" w:ascii="宋体" w:eastAsia="宋体" w:cs="宋体"/>
          <w:color w:val="auto"/>
        </w:rPr>
        <w:t>项目编号：</w:t>
      </w:r>
    </w:p>
    <w:p w14:paraId="790EF000">
      <w:pPr>
        <w:pStyle w:val="230"/>
        <w:pageBreakBefore w:val="0"/>
        <w:kinsoku/>
        <w:topLinePunct w:val="0"/>
        <w:bidi w:val="0"/>
        <w:spacing w:line="360" w:lineRule="auto"/>
        <w:ind w:firstLine="480" w:firstLineChars="200"/>
        <w:rPr>
          <w:rFonts w:hint="eastAsia" w:ascii="宋体" w:eastAsia="宋体" w:cs="宋体"/>
          <w:color w:val="auto"/>
        </w:rPr>
      </w:pPr>
      <w:r>
        <w:rPr>
          <w:rFonts w:hint="eastAsia" w:ascii="宋体" w:eastAsia="宋体" w:cs="宋体"/>
          <w:color w:val="auto"/>
        </w:rPr>
        <w:t>投标人名称：</w:t>
      </w:r>
    </w:p>
    <w:p w14:paraId="63916DEB">
      <w:pPr>
        <w:pStyle w:val="230"/>
        <w:pageBreakBefore w:val="0"/>
        <w:kinsoku/>
        <w:topLinePunct w:val="0"/>
        <w:bidi w:val="0"/>
        <w:spacing w:line="360" w:lineRule="auto"/>
        <w:ind w:firstLine="480" w:firstLineChars="200"/>
        <w:rPr>
          <w:rFonts w:hint="eastAsia" w:ascii="宋体" w:eastAsia="宋体" w:cs="宋体"/>
          <w:color w:val="auto"/>
        </w:rPr>
      </w:pPr>
      <w:r>
        <w:rPr>
          <w:rFonts w:hint="eastAsia" w:ascii="宋体" w:eastAsia="宋体" w:cs="宋体"/>
          <w:color w:val="auto"/>
        </w:rPr>
        <w:t>法定代表人：</w:t>
      </w:r>
    </w:p>
    <w:p w14:paraId="7D08C936">
      <w:pPr>
        <w:pStyle w:val="230"/>
        <w:pageBreakBefore w:val="0"/>
        <w:kinsoku/>
        <w:topLinePunct w:val="0"/>
        <w:bidi w:val="0"/>
        <w:spacing w:line="360" w:lineRule="auto"/>
        <w:ind w:firstLine="480" w:firstLineChars="200"/>
        <w:rPr>
          <w:rFonts w:hint="eastAsia" w:ascii="宋体" w:eastAsia="宋体" w:cs="宋体"/>
          <w:color w:val="auto"/>
        </w:rPr>
      </w:pPr>
      <w:r>
        <w:rPr>
          <w:rFonts w:hint="eastAsia" w:ascii="宋体" w:eastAsia="宋体" w:cs="宋体"/>
          <w:color w:val="auto"/>
        </w:rPr>
        <w:t>联系电话：</w:t>
      </w:r>
    </w:p>
    <w:p w14:paraId="2293D59C">
      <w:pPr>
        <w:pStyle w:val="230"/>
        <w:pageBreakBefore w:val="0"/>
        <w:kinsoku/>
        <w:topLinePunct w:val="0"/>
        <w:bidi w:val="0"/>
        <w:spacing w:line="360" w:lineRule="auto"/>
        <w:ind w:firstLine="480" w:firstLineChars="200"/>
        <w:rPr>
          <w:rFonts w:hint="eastAsia" w:ascii="宋体" w:eastAsia="宋体" w:cs="宋体"/>
          <w:color w:val="auto"/>
        </w:rPr>
      </w:pPr>
      <w:r>
        <w:rPr>
          <w:rFonts w:hint="eastAsia" w:ascii="宋体" w:eastAsia="宋体" w:cs="宋体"/>
          <w:color w:val="auto"/>
        </w:rPr>
        <w:t>授权代表：</w:t>
      </w:r>
    </w:p>
    <w:p w14:paraId="7CB3035C">
      <w:pPr>
        <w:pStyle w:val="230"/>
        <w:pageBreakBefore w:val="0"/>
        <w:kinsoku/>
        <w:topLinePunct w:val="0"/>
        <w:bidi w:val="0"/>
        <w:spacing w:line="360" w:lineRule="auto"/>
        <w:ind w:firstLine="480" w:firstLineChars="200"/>
        <w:rPr>
          <w:rFonts w:hint="eastAsia" w:ascii="宋体" w:eastAsia="宋体" w:cs="宋体"/>
          <w:color w:val="auto"/>
        </w:rPr>
      </w:pPr>
      <w:r>
        <w:rPr>
          <w:rFonts w:hint="eastAsia" w:ascii="宋体" w:eastAsia="宋体" w:cs="宋体"/>
          <w:color w:val="auto"/>
        </w:rPr>
        <w:t>联系电话：</w:t>
      </w:r>
    </w:p>
    <w:p w14:paraId="1DC835C7">
      <w:pPr>
        <w:pStyle w:val="230"/>
        <w:pageBreakBefore w:val="0"/>
        <w:kinsoku/>
        <w:topLinePunct w:val="0"/>
        <w:bidi w:val="0"/>
        <w:spacing w:line="360" w:lineRule="auto"/>
        <w:ind w:firstLine="480" w:firstLineChars="200"/>
        <w:rPr>
          <w:rFonts w:hint="eastAsia" w:ascii="宋体" w:eastAsia="宋体" w:cs="宋体"/>
          <w:color w:val="auto"/>
        </w:rPr>
      </w:pPr>
      <w:r>
        <w:rPr>
          <w:rFonts w:hint="eastAsia" w:ascii="宋体" w:eastAsia="宋体" w:cs="宋体"/>
          <w:color w:val="auto"/>
        </w:rPr>
        <w:t xml:space="preserve">                                             </w:t>
      </w:r>
    </w:p>
    <w:p w14:paraId="0279DC25">
      <w:pPr>
        <w:pStyle w:val="230"/>
        <w:pageBreakBefore w:val="0"/>
        <w:kinsoku/>
        <w:topLinePunct w:val="0"/>
        <w:bidi w:val="0"/>
        <w:spacing w:line="360" w:lineRule="auto"/>
        <w:ind w:left="6236" w:leftChars="170" w:hanging="5760" w:hangingChars="2400"/>
        <w:rPr>
          <w:rFonts w:hint="eastAsia" w:ascii="宋体" w:eastAsia="宋体" w:cs="宋体"/>
          <w:color w:val="auto"/>
        </w:rPr>
      </w:pPr>
      <w:r>
        <w:rPr>
          <w:rFonts w:hint="eastAsia" w:ascii="宋体" w:eastAsia="宋体" w:cs="宋体"/>
          <w:color w:val="auto"/>
        </w:rPr>
        <w:t xml:space="preserve">                                             供应商名称（公章）：                                         年    月    日</w:t>
      </w:r>
    </w:p>
    <w:p w14:paraId="549180F2">
      <w:pPr>
        <w:pageBreakBefore w:val="0"/>
        <w:kinsoku/>
        <w:topLinePunct w:val="0"/>
        <w:bidi w:val="0"/>
        <w:spacing w:line="360" w:lineRule="auto"/>
        <w:rPr>
          <w:rFonts w:hint="eastAsia" w:ascii="宋体" w:hAnsi="宋体" w:eastAsia="宋体" w:cs="宋体"/>
          <w:b/>
          <w:color w:val="auto"/>
        </w:rPr>
      </w:pPr>
    </w:p>
    <w:p w14:paraId="53853BFE">
      <w:pPr>
        <w:pageBreakBefore w:val="0"/>
        <w:kinsoku/>
        <w:topLinePunct w:val="0"/>
        <w:bidi w:val="0"/>
        <w:spacing w:line="360" w:lineRule="auto"/>
        <w:rPr>
          <w:rFonts w:hint="eastAsia" w:ascii="宋体" w:hAnsi="宋体" w:eastAsia="宋体" w:cs="宋体"/>
          <w:b/>
          <w:color w:val="auto"/>
        </w:rPr>
      </w:pPr>
    </w:p>
    <w:p w14:paraId="1C80FBE7">
      <w:pPr>
        <w:pageBreakBefore w:val="0"/>
        <w:kinsoku/>
        <w:topLinePunct w:val="0"/>
        <w:bidi w:val="0"/>
        <w:spacing w:line="360" w:lineRule="auto"/>
        <w:ind w:firstLine="480"/>
        <w:rPr>
          <w:rFonts w:hint="eastAsia" w:ascii="宋体" w:hAnsi="宋体" w:eastAsia="宋体" w:cs="宋体"/>
          <w:color w:val="auto"/>
        </w:rPr>
      </w:pPr>
    </w:p>
    <w:p w14:paraId="15BD003C">
      <w:pPr>
        <w:pageBreakBefore w:val="0"/>
        <w:kinsoku/>
        <w:topLinePunct w:val="0"/>
        <w:bidi w:val="0"/>
        <w:spacing w:line="360" w:lineRule="auto"/>
        <w:rPr>
          <w:rFonts w:hint="eastAsia" w:ascii="宋体" w:hAnsi="宋体" w:eastAsia="宋体" w:cs="宋体"/>
          <w:color w:val="auto"/>
        </w:rPr>
      </w:pPr>
    </w:p>
    <w:p w14:paraId="051E4F47">
      <w:pPr>
        <w:pageBreakBefore w:val="0"/>
        <w:kinsoku/>
        <w:topLinePunct w:val="0"/>
        <w:bidi w:val="0"/>
        <w:spacing w:line="360" w:lineRule="auto"/>
        <w:ind w:firstLine="480"/>
        <w:rPr>
          <w:rFonts w:hint="eastAsia" w:ascii="宋体" w:hAnsi="宋体" w:eastAsia="宋体" w:cs="宋体"/>
          <w:color w:val="auto"/>
        </w:rPr>
      </w:pPr>
    </w:p>
    <w:p w14:paraId="7EE6C341">
      <w:pPr>
        <w:pageBreakBefore w:val="0"/>
        <w:kinsoku/>
        <w:topLinePunct w:val="0"/>
        <w:bidi w:val="0"/>
        <w:spacing w:line="360" w:lineRule="auto"/>
        <w:ind w:firstLine="480"/>
        <w:rPr>
          <w:rFonts w:hint="eastAsia" w:ascii="宋体" w:hAnsi="宋体" w:eastAsia="宋体" w:cs="宋体"/>
          <w:color w:val="auto"/>
        </w:rPr>
      </w:pPr>
    </w:p>
    <w:p w14:paraId="58692682">
      <w:pPr>
        <w:pageBreakBefore w:val="0"/>
        <w:kinsoku/>
        <w:topLinePunct w:val="0"/>
        <w:bidi w:val="0"/>
        <w:spacing w:line="360" w:lineRule="auto"/>
        <w:ind w:firstLine="480"/>
        <w:rPr>
          <w:rFonts w:hint="eastAsia" w:ascii="宋体" w:hAnsi="宋体" w:eastAsia="宋体" w:cs="宋体"/>
          <w:color w:val="auto"/>
        </w:rPr>
      </w:pPr>
    </w:p>
    <w:p w14:paraId="0BCF89B4">
      <w:pPr>
        <w:pageBreakBefore w:val="0"/>
        <w:kinsoku/>
        <w:topLinePunct w:val="0"/>
        <w:bidi w:val="0"/>
        <w:spacing w:line="360" w:lineRule="auto"/>
        <w:ind w:firstLine="482"/>
        <w:rPr>
          <w:rFonts w:hint="eastAsia" w:ascii="宋体" w:hAnsi="宋体" w:eastAsia="宋体" w:cs="宋体"/>
          <w:b/>
          <w:color w:val="auto"/>
        </w:rPr>
      </w:pPr>
      <w:r>
        <w:rPr>
          <w:rFonts w:hint="eastAsia" w:ascii="宋体" w:hAnsi="宋体" w:eastAsia="宋体" w:cs="宋体"/>
          <w:b/>
          <w:color w:val="auto"/>
        </w:rPr>
        <w:t>注：该“投标人信息卡”由投标人在投标时现场递交（内容填写完整或打印并加盖公章，不得装入密封投标文件内）。</w:t>
      </w:r>
    </w:p>
    <w:p w14:paraId="5F54667A">
      <w:pPr>
        <w:pageBreakBefore w:val="0"/>
        <w:kinsoku/>
        <w:topLinePunct w:val="0"/>
        <w:bidi w:val="0"/>
        <w:spacing w:line="360" w:lineRule="auto"/>
        <w:jc w:val="center"/>
        <w:outlineLvl w:val="0"/>
        <w:rPr>
          <w:rFonts w:hint="eastAsia" w:ascii="宋体" w:hAnsi="宋体" w:eastAsia="宋体" w:cs="宋体"/>
          <w:b/>
          <w:bCs/>
          <w:smallCaps/>
          <w:color w:val="auto"/>
          <w:kern w:val="2"/>
          <w:sz w:val="28"/>
          <w:szCs w:val="20"/>
          <w:highlight w:val="none"/>
          <w:lang w:val="en-US" w:eastAsia="zh-CN" w:bidi="ar-SA"/>
        </w:rPr>
      </w:pPr>
    </w:p>
    <w:p w14:paraId="0F813BC7">
      <w:pPr>
        <w:pageBreakBefore w:val="0"/>
        <w:kinsoku/>
        <w:topLinePunct w:val="0"/>
        <w:bidi w:val="0"/>
        <w:spacing w:line="360" w:lineRule="auto"/>
        <w:jc w:val="center"/>
        <w:outlineLvl w:val="0"/>
        <w:rPr>
          <w:rFonts w:hint="eastAsia" w:ascii="宋体" w:hAnsi="宋体" w:eastAsia="宋体" w:cs="宋体"/>
          <w:b/>
          <w:bCs/>
          <w:smallCaps/>
          <w:color w:val="auto"/>
          <w:kern w:val="2"/>
          <w:sz w:val="28"/>
          <w:szCs w:val="20"/>
          <w:highlight w:val="none"/>
          <w:lang w:val="en-US" w:eastAsia="zh-CN" w:bidi="ar-SA"/>
        </w:rPr>
      </w:pPr>
    </w:p>
    <w:p w14:paraId="2D9452FD">
      <w:pPr>
        <w:pStyle w:val="2"/>
        <w:pageBreakBefore w:val="0"/>
        <w:kinsoku/>
        <w:topLinePunct w:val="0"/>
        <w:bidi w:val="0"/>
        <w:spacing w:line="360" w:lineRule="auto"/>
        <w:rPr>
          <w:rFonts w:hint="eastAsia"/>
          <w:lang w:val="en-US" w:eastAsia="zh-CN"/>
        </w:rPr>
      </w:pPr>
    </w:p>
    <w:p w14:paraId="7B690EEC">
      <w:pPr>
        <w:rPr>
          <w:rFonts w:hint="eastAsia"/>
          <w:lang w:val="en-US" w:eastAsia="zh-CN"/>
        </w:rPr>
      </w:pPr>
    </w:p>
    <w:p w14:paraId="2F136511">
      <w:pPr>
        <w:pStyle w:val="2"/>
        <w:rPr>
          <w:rFonts w:hint="eastAsia"/>
          <w:lang w:val="en-US" w:eastAsia="zh-CN"/>
        </w:rPr>
      </w:pPr>
    </w:p>
    <w:p w14:paraId="4D7AC279">
      <w:pPr>
        <w:rPr>
          <w:rFonts w:hint="eastAsia"/>
          <w:lang w:val="en-US" w:eastAsia="zh-CN"/>
        </w:rPr>
      </w:pPr>
    </w:p>
    <w:p w14:paraId="5AB72A97">
      <w:pPr>
        <w:pageBreakBefore w:val="0"/>
        <w:kinsoku/>
        <w:topLinePunct w:val="0"/>
        <w:bidi w:val="0"/>
        <w:spacing w:line="360" w:lineRule="auto"/>
        <w:jc w:val="center"/>
        <w:outlineLvl w:val="0"/>
        <w:rPr>
          <w:rFonts w:hint="eastAsia" w:ascii="宋体" w:hAnsi="宋体" w:eastAsia="宋体" w:cs="宋体"/>
          <w:b/>
          <w:bCs/>
          <w:smallCaps/>
          <w:color w:val="auto"/>
          <w:kern w:val="2"/>
          <w:sz w:val="28"/>
          <w:szCs w:val="20"/>
          <w:highlight w:val="none"/>
          <w:lang w:val="en-US" w:eastAsia="zh-CN" w:bidi="ar-SA"/>
        </w:rPr>
      </w:pPr>
    </w:p>
    <w:p w14:paraId="19C376D4">
      <w:pPr>
        <w:pageBreakBefore w:val="0"/>
        <w:kinsoku/>
        <w:topLinePunct w:val="0"/>
        <w:bidi w:val="0"/>
        <w:spacing w:line="360" w:lineRule="auto"/>
        <w:jc w:val="center"/>
        <w:outlineLvl w:val="0"/>
        <w:rPr>
          <w:rFonts w:hint="eastAsia" w:ascii="宋体" w:hAnsi="宋体" w:eastAsia="宋体" w:cs="宋体"/>
          <w:b/>
          <w:bCs/>
          <w:smallCaps/>
          <w:color w:val="auto"/>
          <w:kern w:val="2"/>
          <w:sz w:val="28"/>
          <w:szCs w:val="20"/>
          <w:highlight w:val="none"/>
          <w:lang w:val="en-US" w:eastAsia="zh-CN" w:bidi="ar-SA"/>
        </w:rPr>
      </w:pPr>
    </w:p>
    <w:p w14:paraId="290751C8">
      <w:pPr>
        <w:pageBreakBefore w:val="0"/>
        <w:kinsoku/>
        <w:topLinePunct w:val="0"/>
        <w:bidi w:val="0"/>
        <w:spacing w:line="360" w:lineRule="auto"/>
        <w:jc w:val="center"/>
        <w:outlineLvl w:val="0"/>
        <w:rPr>
          <w:rFonts w:hint="eastAsia" w:ascii="宋体" w:hAnsi="宋体" w:eastAsia="宋体" w:cs="宋体"/>
          <w:b/>
          <w:bCs/>
          <w:smallCaps/>
          <w:color w:val="auto"/>
          <w:kern w:val="2"/>
          <w:sz w:val="28"/>
          <w:szCs w:val="20"/>
          <w:highlight w:val="none"/>
          <w:lang w:val="en-US" w:eastAsia="zh-CN" w:bidi="ar-SA"/>
        </w:rPr>
      </w:pPr>
      <w:r>
        <w:rPr>
          <w:rFonts w:hint="eastAsia" w:ascii="宋体" w:hAnsi="宋体" w:eastAsia="宋体" w:cs="宋体"/>
          <w:b/>
          <w:bCs/>
          <w:smallCaps/>
          <w:color w:val="auto"/>
          <w:kern w:val="2"/>
          <w:sz w:val="28"/>
          <w:szCs w:val="20"/>
          <w:highlight w:val="none"/>
          <w:lang w:val="en-US" w:eastAsia="zh-CN" w:bidi="ar-SA"/>
        </w:rPr>
        <w:t>附件</w:t>
      </w:r>
      <w:r>
        <w:rPr>
          <w:rFonts w:hint="eastAsia" w:ascii="宋体" w:hAnsi="宋体" w:cs="宋体"/>
          <w:b/>
          <w:bCs/>
          <w:smallCaps/>
          <w:color w:val="auto"/>
          <w:kern w:val="2"/>
          <w:sz w:val="28"/>
          <w:szCs w:val="20"/>
          <w:highlight w:val="none"/>
          <w:lang w:val="en-US" w:eastAsia="zh-CN" w:bidi="ar-SA"/>
        </w:rPr>
        <w:t>2</w:t>
      </w:r>
      <w:r>
        <w:rPr>
          <w:rFonts w:hint="eastAsia" w:ascii="宋体" w:hAnsi="宋体" w:eastAsia="宋体" w:cs="宋体"/>
          <w:b/>
          <w:bCs/>
          <w:smallCaps/>
          <w:color w:val="auto"/>
          <w:kern w:val="2"/>
          <w:sz w:val="28"/>
          <w:szCs w:val="20"/>
          <w:highlight w:val="none"/>
          <w:lang w:val="en-US" w:eastAsia="zh-CN" w:bidi="ar-SA"/>
        </w:rPr>
        <w:t>：</w:t>
      </w:r>
      <w:r>
        <w:rPr>
          <w:rFonts w:hint="eastAsia" w:ascii="宋体" w:hAnsi="宋体" w:cs="宋体"/>
          <w:b/>
          <w:bCs/>
          <w:smallCaps/>
          <w:color w:val="auto"/>
          <w:kern w:val="2"/>
          <w:sz w:val="28"/>
          <w:szCs w:val="20"/>
          <w:highlight w:val="none"/>
          <w:lang w:val="en-US" w:eastAsia="zh-CN" w:bidi="ar-SA"/>
        </w:rPr>
        <w:t>中崟工程项目管理有限公司</w:t>
      </w:r>
      <w:r>
        <w:rPr>
          <w:rFonts w:hint="eastAsia" w:ascii="宋体" w:hAnsi="宋体" w:eastAsia="宋体" w:cs="宋体"/>
          <w:b/>
          <w:bCs/>
          <w:smallCaps/>
          <w:color w:val="auto"/>
          <w:kern w:val="2"/>
          <w:sz w:val="28"/>
          <w:szCs w:val="20"/>
          <w:highlight w:val="none"/>
          <w:lang w:val="en-US" w:eastAsia="zh-CN" w:bidi="ar-SA"/>
        </w:rPr>
        <w:t>项目报名表</w:t>
      </w:r>
    </w:p>
    <w:tbl>
      <w:tblPr>
        <w:tblStyle w:val="5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2308"/>
        <w:gridCol w:w="1014"/>
        <w:gridCol w:w="3829"/>
      </w:tblGrid>
      <w:tr w14:paraId="2EC397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768" w:type="dxa"/>
            <w:noWrap w:val="0"/>
            <w:vAlign w:val="center"/>
          </w:tcPr>
          <w:p w14:paraId="4AE166F4">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项目号</w:t>
            </w:r>
          </w:p>
        </w:tc>
        <w:tc>
          <w:tcPr>
            <w:tcW w:w="7151" w:type="dxa"/>
            <w:gridSpan w:val="3"/>
            <w:noWrap w:val="0"/>
            <w:vAlign w:val="center"/>
          </w:tcPr>
          <w:p w14:paraId="3FB5A69E">
            <w:pPr>
              <w:pageBreakBefore w:val="0"/>
              <w:kinsoku/>
              <w:topLinePunct w:val="0"/>
              <w:bidi w:val="0"/>
              <w:spacing w:line="360" w:lineRule="auto"/>
              <w:ind w:left="0" w:leftChars="0" w:firstLine="0" w:firstLineChars="0"/>
              <w:jc w:val="center"/>
              <w:rPr>
                <w:rFonts w:hint="default" w:ascii="宋体" w:hAnsi="宋体" w:eastAsia="宋体" w:cs="宋体"/>
                <w:color w:val="auto"/>
                <w:sz w:val="28"/>
                <w:szCs w:val="21"/>
                <w:highlight w:val="none"/>
                <w:lang w:val="en-US" w:eastAsia="zh-CN"/>
              </w:rPr>
            </w:pPr>
          </w:p>
        </w:tc>
      </w:tr>
      <w:tr w14:paraId="7649CC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768" w:type="dxa"/>
            <w:noWrap w:val="0"/>
            <w:vAlign w:val="center"/>
          </w:tcPr>
          <w:p w14:paraId="52C9BB63">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项目名称</w:t>
            </w:r>
          </w:p>
        </w:tc>
        <w:tc>
          <w:tcPr>
            <w:tcW w:w="7151" w:type="dxa"/>
            <w:gridSpan w:val="3"/>
            <w:noWrap w:val="0"/>
            <w:vAlign w:val="center"/>
          </w:tcPr>
          <w:p w14:paraId="3A8A555E">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lang w:val="en-US" w:eastAsia="zh-CN"/>
              </w:rPr>
            </w:pPr>
          </w:p>
        </w:tc>
      </w:tr>
      <w:tr w14:paraId="4CA454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768" w:type="dxa"/>
            <w:noWrap w:val="0"/>
            <w:vAlign w:val="center"/>
          </w:tcPr>
          <w:p w14:paraId="3F26BB96">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lang w:eastAsia="zh-CN"/>
              </w:rPr>
              <w:t>供应商</w:t>
            </w:r>
            <w:r>
              <w:rPr>
                <w:rFonts w:hint="eastAsia" w:ascii="宋体" w:hAnsi="宋体" w:eastAsia="宋体" w:cs="宋体"/>
                <w:color w:val="auto"/>
                <w:sz w:val="28"/>
                <w:szCs w:val="21"/>
                <w:highlight w:val="none"/>
              </w:rPr>
              <w:t>名称</w:t>
            </w:r>
          </w:p>
        </w:tc>
        <w:tc>
          <w:tcPr>
            <w:tcW w:w="7151" w:type="dxa"/>
            <w:gridSpan w:val="3"/>
            <w:noWrap w:val="0"/>
            <w:vAlign w:val="center"/>
          </w:tcPr>
          <w:p w14:paraId="157E9697">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（供应商公章）</w:t>
            </w:r>
          </w:p>
        </w:tc>
      </w:tr>
      <w:tr w14:paraId="504534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768" w:type="dxa"/>
            <w:noWrap w:val="0"/>
            <w:vAlign w:val="center"/>
          </w:tcPr>
          <w:p w14:paraId="6BBD355D">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联系人</w:t>
            </w:r>
          </w:p>
        </w:tc>
        <w:tc>
          <w:tcPr>
            <w:tcW w:w="2308" w:type="dxa"/>
            <w:noWrap w:val="0"/>
            <w:vAlign w:val="center"/>
          </w:tcPr>
          <w:p w14:paraId="0EC4528E">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p>
        </w:tc>
        <w:tc>
          <w:tcPr>
            <w:tcW w:w="1014" w:type="dxa"/>
            <w:noWrap w:val="0"/>
            <w:vAlign w:val="center"/>
          </w:tcPr>
          <w:p w14:paraId="199556EF">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手机</w:t>
            </w:r>
          </w:p>
        </w:tc>
        <w:tc>
          <w:tcPr>
            <w:tcW w:w="3829" w:type="dxa"/>
            <w:noWrap w:val="0"/>
            <w:vAlign w:val="center"/>
          </w:tcPr>
          <w:p w14:paraId="0614300C">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p>
        </w:tc>
      </w:tr>
      <w:tr w14:paraId="5ACA35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768" w:type="dxa"/>
            <w:noWrap w:val="0"/>
            <w:vAlign w:val="center"/>
          </w:tcPr>
          <w:p w14:paraId="62BCD4B9">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办公电话</w:t>
            </w:r>
          </w:p>
        </w:tc>
        <w:tc>
          <w:tcPr>
            <w:tcW w:w="2308" w:type="dxa"/>
            <w:noWrap w:val="0"/>
            <w:vAlign w:val="center"/>
          </w:tcPr>
          <w:p w14:paraId="3B07C27D">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p>
        </w:tc>
        <w:tc>
          <w:tcPr>
            <w:tcW w:w="1014" w:type="dxa"/>
            <w:noWrap w:val="0"/>
            <w:vAlign w:val="center"/>
          </w:tcPr>
          <w:p w14:paraId="47459ECC">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传真</w:t>
            </w:r>
          </w:p>
        </w:tc>
        <w:tc>
          <w:tcPr>
            <w:tcW w:w="3829" w:type="dxa"/>
            <w:noWrap w:val="0"/>
            <w:vAlign w:val="center"/>
          </w:tcPr>
          <w:p w14:paraId="4EE9E21F">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p>
        </w:tc>
      </w:tr>
      <w:tr w14:paraId="48AE26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768" w:type="dxa"/>
            <w:noWrap w:val="0"/>
            <w:vAlign w:val="center"/>
          </w:tcPr>
          <w:p w14:paraId="7A0C401F">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E-mail</w:t>
            </w:r>
          </w:p>
        </w:tc>
        <w:tc>
          <w:tcPr>
            <w:tcW w:w="7151" w:type="dxa"/>
            <w:gridSpan w:val="3"/>
            <w:noWrap w:val="0"/>
            <w:vAlign w:val="center"/>
          </w:tcPr>
          <w:p w14:paraId="2CA8DBE4">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p>
        </w:tc>
      </w:tr>
      <w:tr w14:paraId="52F2E5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768" w:type="dxa"/>
            <w:noWrap w:val="0"/>
            <w:vAlign w:val="center"/>
          </w:tcPr>
          <w:p w14:paraId="538EED6C">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单位地址</w:t>
            </w:r>
          </w:p>
        </w:tc>
        <w:tc>
          <w:tcPr>
            <w:tcW w:w="7151" w:type="dxa"/>
            <w:gridSpan w:val="3"/>
            <w:noWrap w:val="0"/>
            <w:vAlign w:val="center"/>
          </w:tcPr>
          <w:p w14:paraId="7AC8A6C5">
            <w:pPr>
              <w:pageBreakBefore w:val="0"/>
              <w:kinsoku/>
              <w:topLinePunct w:val="0"/>
              <w:bidi w:val="0"/>
              <w:spacing w:line="360" w:lineRule="auto"/>
              <w:ind w:left="0" w:leftChars="0" w:firstLine="0" w:firstLineChars="0"/>
              <w:jc w:val="center"/>
              <w:rPr>
                <w:rFonts w:hint="eastAsia" w:ascii="宋体" w:hAnsi="宋体" w:eastAsia="宋体" w:cs="宋体"/>
                <w:color w:val="auto"/>
                <w:sz w:val="28"/>
                <w:szCs w:val="21"/>
                <w:highlight w:val="none"/>
              </w:rPr>
            </w:pPr>
          </w:p>
        </w:tc>
      </w:tr>
    </w:tbl>
    <w:p w14:paraId="5490AAFC">
      <w:pPr>
        <w:pageBreakBefore w:val="0"/>
        <w:kinsoku/>
        <w:topLinePunct w:val="0"/>
        <w:bidi w:val="0"/>
        <w:spacing w:line="360" w:lineRule="auto"/>
        <w:ind w:firstLine="480" w:firstLineChars="200"/>
        <w:rPr>
          <w:rFonts w:hint="eastAsia" w:ascii="宋体" w:hAnsi="宋体" w:eastAsia="宋体" w:cs="宋体"/>
          <w:color w:val="auto"/>
          <w:sz w:val="24"/>
          <w:highlight w:val="none"/>
          <w:lang w:eastAsia="zh-CN"/>
        </w:rPr>
      </w:pPr>
    </w:p>
    <w:p w14:paraId="7EA9A0AA">
      <w:pPr>
        <w:pageBreakBefore w:val="0"/>
        <w:kinsoku/>
        <w:topLinePunct w:val="0"/>
        <w:bidi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报名费：</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00元/份</w:t>
      </w:r>
      <w:r>
        <w:rPr>
          <w:rFonts w:hint="eastAsia" w:ascii="宋体" w:hAnsi="宋体" w:eastAsia="宋体" w:cs="宋体"/>
          <w:color w:val="auto"/>
          <w:sz w:val="24"/>
          <w:highlight w:val="none"/>
          <w:lang w:val="en-US" w:eastAsia="zh-CN"/>
        </w:rPr>
        <w:t xml:space="preserve">              代理机构</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中崟工程项目管理有限公司</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 xml:space="preserve">    </w:t>
      </w:r>
    </w:p>
    <w:p w14:paraId="5D84E2DA">
      <w:pPr>
        <w:pageBreakBefore w:val="0"/>
        <w:kinsoku/>
        <w:topLinePunct w:val="0"/>
        <w:bidi w:val="0"/>
        <w:spacing w:line="360" w:lineRule="auto"/>
        <w:ind w:firstLine="480" w:firstLineChars="200"/>
        <w:rPr>
          <w:rFonts w:hint="eastAsia" w:ascii="宋体" w:hAnsi="宋体" w:eastAsia="宋体" w:cs="宋体"/>
          <w:color w:val="auto"/>
          <w:sz w:val="24"/>
          <w:highlight w:val="none"/>
          <w:lang w:val="en-US" w:eastAsia="zh-CN"/>
        </w:rPr>
      </w:pPr>
    </w:p>
    <w:p w14:paraId="0BE2CCA1">
      <w:pPr>
        <w:pageBreakBefore w:val="0"/>
        <w:kinsoku/>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相关说明：</w:t>
      </w:r>
    </w:p>
    <w:p w14:paraId="15F41F53">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供应商需在规定的报名时间内（工作日：每天上午9：00-12:00时，下午14：00-17：00时），到</w:t>
      </w:r>
      <w:r>
        <w:rPr>
          <w:rFonts w:hint="eastAsia" w:ascii="宋体" w:hAnsi="宋体" w:cs="宋体"/>
          <w:color w:val="auto"/>
          <w:sz w:val="24"/>
          <w:highlight w:val="none"/>
          <w:lang w:val="en-US" w:eastAsia="zh-CN"/>
        </w:rPr>
        <w:t>中崟工程项目管理有限公司</w:t>
      </w:r>
      <w:r>
        <w:rPr>
          <w:rFonts w:hint="eastAsia" w:ascii="宋体" w:hAnsi="宋体" w:eastAsia="宋体" w:cs="宋体"/>
          <w:color w:val="auto"/>
          <w:sz w:val="24"/>
          <w:highlight w:val="none"/>
          <w:lang w:val="en-US" w:eastAsia="zh-CN"/>
        </w:rPr>
        <w:t>缴纳报名费。地址：同投标地点一致；供应商在缴纳报名费后，请将《</w:t>
      </w:r>
      <w:r>
        <w:rPr>
          <w:rFonts w:hint="eastAsia" w:ascii="宋体" w:hAnsi="宋体" w:cs="宋体"/>
          <w:color w:val="auto"/>
          <w:sz w:val="24"/>
          <w:highlight w:val="none"/>
          <w:lang w:val="en-US" w:eastAsia="zh-CN"/>
        </w:rPr>
        <w:t>中崟工程项目管理有限公司</w:t>
      </w:r>
      <w:r>
        <w:rPr>
          <w:rFonts w:hint="eastAsia" w:ascii="宋体" w:hAnsi="宋体" w:eastAsia="宋体" w:cs="宋体"/>
          <w:color w:val="auto"/>
          <w:sz w:val="24"/>
          <w:highlight w:val="none"/>
          <w:lang w:val="en-US" w:eastAsia="zh-CN"/>
        </w:rPr>
        <w:t>项目报名表》（加盖供应商公章）递交至代理公司工作人员。注：报名表必须为电子版本形式不得手写。</w:t>
      </w:r>
    </w:p>
    <w:p w14:paraId="3817CC56">
      <w:pPr>
        <w:pageBreakBefore w:val="0"/>
        <w:tabs>
          <w:tab w:val="left" w:pos="5760"/>
        </w:tabs>
        <w:kinsoku/>
        <w:topLinePunct w:val="0"/>
        <w:autoSpaceDE w:val="0"/>
        <w:autoSpaceDN w:val="0"/>
        <w:bidi w:val="0"/>
        <w:adjustRightInd w:val="0"/>
        <w:spacing w:line="360" w:lineRule="auto"/>
        <w:jc w:val="center"/>
        <w:rPr>
          <w:rFonts w:hint="eastAsia" w:ascii="仿宋" w:hAnsi="仿宋" w:eastAsia="仿宋" w:cs="仿宋"/>
          <w:color w:val="auto"/>
          <w:sz w:val="24"/>
          <w:szCs w:val="24"/>
          <w:highlight w:val="none"/>
          <w:lang w:eastAsia="zh-CN"/>
        </w:rPr>
      </w:pPr>
    </w:p>
    <w:sectPr>
      <w:pgSz w:w="11907" w:h="16840"/>
      <w:pgMar w:top="1134" w:right="1191" w:bottom="1134" w:left="1304" w:header="964"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86"/>
    <w:family w:val="roman"/>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方正黑体_GBK"/>
    <w:panose1 w:val="020B0609010101010101"/>
    <w:charset w:val="86"/>
    <w:family w:val="modern"/>
    <w:pitch w:val="default"/>
    <w:sig w:usb0="00000000" w:usb1="00000000" w:usb2="00000010" w:usb3="00000000" w:csb0="00040000" w:csb1="00000000"/>
  </w:font>
  <w:font w:name="昆仑楷体">
    <w:altName w:val="方正楷体_GBK"/>
    <w:panose1 w:val="0201060900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Narrow">
    <w:altName w:val="Times New Roman"/>
    <w:panose1 w:val="020B0606020202030204"/>
    <w:charset w:val="00"/>
    <w:family w:val="swiss"/>
    <w:pitch w:val="default"/>
    <w:sig w:usb0="00000000" w:usb1="00000000" w:usb2="00000000" w:usb3="00000000" w:csb0="2000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7DBA">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4ADF1">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E4ADF1">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7173">
    <w:pPr>
      <w:pStyle w:val="3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C908E">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6C908E">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30207">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C970A">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1C970A">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999">
    <w:pPr>
      <w:pStyle w:val="37"/>
      <w:pBdr>
        <w:bottom w:val="none" w:color="auto" w:sz="0" w:space="1"/>
      </w:pBdr>
      <w:ind w:left="0" w:leftChars="0" w:firstLine="0" w:firstLineChars="0"/>
      <w:jc w:val="both"/>
      <w:rPr>
        <w:rFonts w:hAnsi="Times New Roman" w:cs="Times New Roman"/>
      </w:rPr>
    </w:pPr>
  </w:p>
  <w:p w14:paraId="67ACC4D5">
    <w:pPr>
      <w:pStyle w:val="37"/>
      <w:pBdr>
        <w:bottom w:val="none" w:color="auto" w:sz="0" w:space="1"/>
      </w:pBdr>
      <w:rPr>
        <w:rFonts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036C">
    <w:pPr>
      <w:pStyle w:val="3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21A5F">
    <w:pPr>
      <w:pStyle w:val="37"/>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A87D"/>
    <w:multiLevelType w:val="singleLevel"/>
    <w:tmpl w:val="8E88A87D"/>
    <w:lvl w:ilvl="0" w:tentative="0">
      <w:start w:val="1"/>
      <w:numFmt w:val="decimal"/>
      <w:suff w:val="nothing"/>
      <w:lvlText w:val="%1、"/>
      <w:lvlJc w:val="left"/>
    </w:lvl>
  </w:abstractNum>
  <w:abstractNum w:abstractNumId="1">
    <w:nsid w:val="C45A734A"/>
    <w:multiLevelType w:val="singleLevel"/>
    <w:tmpl w:val="C45A734A"/>
    <w:lvl w:ilvl="0" w:tentative="0">
      <w:start w:val="6"/>
      <w:numFmt w:val="chineseCounting"/>
      <w:suff w:val="space"/>
      <w:lvlText w:val="第%1篇"/>
      <w:lvlJc w:val="left"/>
      <w:rPr>
        <w:rFonts w:hint="eastAsia"/>
      </w:rPr>
    </w:lvl>
  </w:abstractNum>
  <w:abstractNum w:abstractNumId="2">
    <w:nsid w:val="00000003"/>
    <w:multiLevelType w:val="singleLevel"/>
    <w:tmpl w:val="00000003"/>
    <w:lvl w:ilvl="0" w:tentative="0">
      <w:start w:val="1"/>
      <w:numFmt w:val="decimal"/>
      <w:pStyle w:val="14"/>
      <w:lvlText w:val="%1."/>
      <w:lvlJc w:val="left"/>
      <w:pPr>
        <w:tabs>
          <w:tab w:val="left" w:pos="780"/>
        </w:tabs>
        <w:ind w:left="780" w:hanging="360"/>
      </w:pPr>
    </w:lvl>
  </w:abstractNum>
  <w:abstractNum w:abstractNumId="3">
    <w:nsid w:val="00000005"/>
    <w:multiLevelType w:val="multilevel"/>
    <w:tmpl w:val="00000005"/>
    <w:lvl w:ilvl="0" w:tentative="0">
      <w:start w:val="1"/>
      <w:numFmt w:val="bullet"/>
      <w:pStyle w:val="13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5">
    <w:nsid w:val="00000007"/>
    <w:multiLevelType w:val="multilevel"/>
    <w:tmpl w:val="00000007"/>
    <w:lvl w:ilvl="0" w:tentative="0">
      <w:start w:val="1"/>
      <w:numFmt w:val="bullet"/>
      <w:pStyle w:val="13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8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0A"/>
    <w:multiLevelType w:val="multilevel"/>
    <w:tmpl w:val="0000000A"/>
    <w:lvl w:ilvl="0" w:tentative="0">
      <w:start w:val="8"/>
      <w:numFmt w:val="decimal"/>
      <w:pStyle w:val="186"/>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3"/>
    <w:multiLevelType w:val="multilevel"/>
    <w:tmpl w:val="00000013"/>
    <w:lvl w:ilvl="0" w:tentative="0">
      <w:start w:val="1"/>
      <w:numFmt w:val="bullet"/>
      <w:pStyle w:val="10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5"/>
    <w:multiLevelType w:val="multilevel"/>
    <w:tmpl w:val="00000015"/>
    <w:lvl w:ilvl="0" w:tentative="0">
      <w:start w:val="1"/>
      <w:numFmt w:val="decimal"/>
      <w:pStyle w:val="201"/>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6"/>
    <w:multiLevelType w:val="singleLevel"/>
    <w:tmpl w:val="00000016"/>
    <w:lvl w:ilvl="0" w:tentative="0">
      <w:start w:val="1"/>
      <w:numFmt w:val="bullet"/>
      <w:pStyle w:val="125"/>
      <w:lvlText w:val=""/>
      <w:lvlJc w:val="left"/>
      <w:pPr>
        <w:tabs>
          <w:tab w:val="left" w:pos="360"/>
        </w:tabs>
        <w:ind w:left="360" w:hanging="360"/>
      </w:pPr>
      <w:rPr>
        <w:rFonts w:hint="default" w:ascii="Wingdings" w:hAnsi="Wingdings"/>
      </w:rPr>
    </w:lvl>
  </w:abstractNum>
  <w:abstractNum w:abstractNumId="13">
    <w:nsid w:val="00000017"/>
    <w:multiLevelType w:val="singleLevel"/>
    <w:tmpl w:val="00000017"/>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4">
    <w:nsid w:val="00000019"/>
    <w:multiLevelType w:val="singleLevel"/>
    <w:tmpl w:val="00000019"/>
    <w:lvl w:ilvl="0" w:tentative="0">
      <w:start w:val="1"/>
      <w:numFmt w:val="decimal"/>
      <w:pStyle w:val="102"/>
      <w:lvlText w:val="%1)"/>
      <w:lvlJc w:val="left"/>
      <w:pPr>
        <w:tabs>
          <w:tab w:val="left" w:pos="425"/>
        </w:tabs>
        <w:ind w:left="425" w:hanging="425"/>
      </w:pPr>
      <w:rPr>
        <w:rFonts w:hint="eastAsia"/>
      </w:rPr>
    </w:lvl>
  </w:abstractNum>
  <w:abstractNum w:abstractNumId="15">
    <w:nsid w:val="0000001A"/>
    <w:multiLevelType w:val="multilevel"/>
    <w:tmpl w:val="0000001A"/>
    <w:lvl w:ilvl="0" w:tentative="0">
      <w:start w:val="1"/>
      <w:numFmt w:val="decimal"/>
      <w:pStyle w:val="15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D"/>
    <w:multiLevelType w:val="multilevel"/>
    <w:tmpl w:val="0000001D"/>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07E8D45"/>
    <w:multiLevelType w:val="singleLevel"/>
    <w:tmpl w:val="207E8D45"/>
    <w:lvl w:ilvl="0" w:tentative="0">
      <w:start w:val="1"/>
      <w:numFmt w:val="chineseCounting"/>
      <w:suff w:val="nothing"/>
      <w:lvlText w:val="%1、"/>
      <w:lvlJc w:val="left"/>
      <w:rPr>
        <w:rFonts w:hint="eastAsia"/>
      </w:rPr>
    </w:lvl>
  </w:abstractNum>
  <w:num w:numId="1">
    <w:abstractNumId w:val="6"/>
  </w:num>
  <w:num w:numId="2">
    <w:abstractNumId w:val="2"/>
  </w:num>
  <w:num w:numId="3">
    <w:abstractNumId w:val="4"/>
  </w:num>
  <w:num w:numId="4">
    <w:abstractNumId w:val="13"/>
  </w:num>
  <w:num w:numId="5">
    <w:abstractNumId w:val="9"/>
  </w:num>
  <w:num w:numId="6">
    <w:abstractNumId w:val="14"/>
  </w:num>
  <w:num w:numId="7">
    <w:abstractNumId w:val="10"/>
  </w:num>
  <w:num w:numId="8">
    <w:abstractNumId w:val="8"/>
  </w:num>
  <w:num w:numId="9">
    <w:abstractNumId w:val="12"/>
  </w:num>
  <w:num w:numId="10">
    <w:abstractNumId w:val="3"/>
  </w:num>
  <w:num w:numId="11">
    <w:abstractNumId w:val="5"/>
  </w:num>
  <w:num w:numId="12">
    <w:abstractNumId w:val="15"/>
  </w:num>
  <w:num w:numId="13">
    <w:abstractNumId w:val="16"/>
  </w:num>
  <w:num w:numId="14">
    <w:abstractNumId w:val="7"/>
  </w:num>
  <w:num w:numId="15">
    <w:abstractNumId w:val="11"/>
  </w:num>
  <w:num w:numId="16">
    <w:abstractNumId w:val="1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YWU3YTRhZGQ1MDg2NzQ4ZDgxOTY3Yzc2NWI0YWEifQ=="/>
  </w:docVars>
  <w:rsids>
    <w:rsidRoot w:val="00172A27"/>
    <w:rsid w:val="000009FD"/>
    <w:rsid w:val="00000ED2"/>
    <w:rsid w:val="00003684"/>
    <w:rsid w:val="000072F0"/>
    <w:rsid w:val="00010A9A"/>
    <w:rsid w:val="000110F0"/>
    <w:rsid w:val="00011AF1"/>
    <w:rsid w:val="00012203"/>
    <w:rsid w:val="00012ACA"/>
    <w:rsid w:val="0002138B"/>
    <w:rsid w:val="00021946"/>
    <w:rsid w:val="00024DB8"/>
    <w:rsid w:val="000266A1"/>
    <w:rsid w:val="0003075E"/>
    <w:rsid w:val="00030782"/>
    <w:rsid w:val="0003282A"/>
    <w:rsid w:val="00034A67"/>
    <w:rsid w:val="0003767C"/>
    <w:rsid w:val="000376BA"/>
    <w:rsid w:val="00037FAD"/>
    <w:rsid w:val="000408C5"/>
    <w:rsid w:val="000420C0"/>
    <w:rsid w:val="00042250"/>
    <w:rsid w:val="00043311"/>
    <w:rsid w:val="000440AD"/>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44040"/>
    <w:rsid w:val="0015271E"/>
    <w:rsid w:val="001528E5"/>
    <w:rsid w:val="00155351"/>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3AEC"/>
    <w:rsid w:val="00194E17"/>
    <w:rsid w:val="001960BE"/>
    <w:rsid w:val="001961B5"/>
    <w:rsid w:val="00197352"/>
    <w:rsid w:val="00197B98"/>
    <w:rsid w:val="001A0940"/>
    <w:rsid w:val="001A126D"/>
    <w:rsid w:val="001A648A"/>
    <w:rsid w:val="001A6B5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0B4"/>
    <w:rsid w:val="001F6C1F"/>
    <w:rsid w:val="001F707E"/>
    <w:rsid w:val="002037CF"/>
    <w:rsid w:val="002101B3"/>
    <w:rsid w:val="002121D4"/>
    <w:rsid w:val="002129E3"/>
    <w:rsid w:val="00216844"/>
    <w:rsid w:val="00217474"/>
    <w:rsid w:val="00217C0F"/>
    <w:rsid w:val="002201C0"/>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E7A5C"/>
    <w:rsid w:val="002F1086"/>
    <w:rsid w:val="002F1557"/>
    <w:rsid w:val="002F4D62"/>
    <w:rsid w:val="002F5812"/>
    <w:rsid w:val="002F5EEF"/>
    <w:rsid w:val="002F62E5"/>
    <w:rsid w:val="003017D2"/>
    <w:rsid w:val="003055FB"/>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21D1"/>
    <w:rsid w:val="003C3995"/>
    <w:rsid w:val="003D00D2"/>
    <w:rsid w:val="003D0992"/>
    <w:rsid w:val="003D1370"/>
    <w:rsid w:val="003D1857"/>
    <w:rsid w:val="003D1F45"/>
    <w:rsid w:val="003D6FF0"/>
    <w:rsid w:val="003D7BDE"/>
    <w:rsid w:val="003E39B8"/>
    <w:rsid w:val="003E4DEA"/>
    <w:rsid w:val="003E5E95"/>
    <w:rsid w:val="003E61EF"/>
    <w:rsid w:val="003E699F"/>
    <w:rsid w:val="003F2CFF"/>
    <w:rsid w:val="003F417C"/>
    <w:rsid w:val="003F5BC7"/>
    <w:rsid w:val="003F5F2A"/>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08CE"/>
    <w:rsid w:val="004A2306"/>
    <w:rsid w:val="004A263F"/>
    <w:rsid w:val="004A5230"/>
    <w:rsid w:val="004A7303"/>
    <w:rsid w:val="004B1497"/>
    <w:rsid w:val="004B159F"/>
    <w:rsid w:val="004B1F0B"/>
    <w:rsid w:val="004B2831"/>
    <w:rsid w:val="004B4916"/>
    <w:rsid w:val="004B4921"/>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0DF3"/>
    <w:rsid w:val="0055311C"/>
    <w:rsid w:val="005577EB"/>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3D7A"/>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7999"/>
    <w:rsid w:val="00687CA2"/>
    <w:rsid w:val="00692203"/>
    <w:rsid w:val="00692295"/>
    <w:rsid w:val="00695D30"/>
    <w:rsid w:val="00696EEA"/>
    <w:rsid w:val="00696FEF"/>
    <w:rsid w:val="006A0741"/>
    <w:rsid w:val="006A0B45"/>
    <w:rsid w:val="006A2E67"/>
    <w:rsid w:val="006A3BB4"/>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12CA6"/>
    <w:rsid w:val="007201FE"/>
    <w:rsid w:val="00721A8E"/>
    <w:rsid w:val="007249AB"/>
    <w:rsid w:val="00726CCC"/>
    <w:rsid w:val="00727554"/>
    <w:rsid w:val="00727725"/>
    <w:rsid w:val="00730AB1"/>
    <w:rsid w:val="00731E6E"/>
    <w:rsid w:val="0073357F"/>
    <w:rsid w:val="00733B6B"/>
    <w:rsid w:val="00733D19"/>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8768E"/>
    <w:rsid w:val="0079150F"/>
    <w:rsid w:val="00792A70"/>
    <w:rsid w:val="00793B9D"/>
    <w:rsid w:val="007953B5"/>
    <w:rsid w:val="00795641"/>
    <w:rsid w:val="00795A90"/>
    <w:rsid w:val="00796EBA"/>
    <w:rsid w:val="007977A7"/>
    <w:rsid w:val="007A1958"/>
    <w:rsid w:val="007A1D16"/>
    <w:rsid w:val="007A3596"/>
    <w:rsid w:val="007A4884"/>
    <w:rsid w:val="007A4D8F"/>
    <w:rsid w:val="007A6915"/>
    <w:rsid w:val="007A6D2B"/>
    <w:rsid w:val="007A718A"/>
    <w:rsid w:val="007A7855"/>
    <w:rsid w:val="007B08DC"/>
    <w:rsid w:val="007B12C5"/>
    <w:rsid w:val="007B1BA5"/>
    <w:rsid w:val="007B2AB1"/>
    <w:rsid w:val="007B2F46"/>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083A"/>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343B"/>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6DCF"/>
    <w:rsid w:val="009075E7"/>
    <w:rsid w:val="00907D95"/>
    <w:rsid w:val="009111F7"/>
    <w:rsid w:val="00914050"/>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4C8"/>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9F0"/>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3BF0"/>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AB6"/>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76B18"/>
    <w:rsid w:val="00B816BC"/>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797"/>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1E5E"/>
    <w:rsid w:val="00CA35F2"/>
    <w:rsid w:val="00CA44E8"/>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6392"/>
    <w:rsid w:val="00D27B9A"/>
    <w:rsid w:val="00D31CAF"/>
    <w:rsid w:val="00D32E09"/>
    <w:rsid w:val="00D33903"/>
    <w:rsid w:val="00D33981"/>
    <w:rsid w:val="00D408A2"/>
    <w:rsid w:val="00D40C2F"/>
    <w:rsid w:val="00D40ED4"/>
    <w:rsid w:val="00D46AA8"/>
    <w:rsid w:val="00D521D5"/>
    <w:rsid w:val="00D52469"/>
    <w:rsid w:val="00D5598F"/>
    <w:rsid w:val="00D56691"/>
    <w:rsid w:val="00D5688F"/>
    <w:rsid w:val="00D57697"/>
    <w:rsid w:val="00D57A8C"/>
    <w:rsid w:val="00D61D7B"/>
    <w:rsid w:val="00D6264F"/>
    <w:rsid w:val="00D629C4"/>
    <w:rsid w:val="00D655D1"/>
    <w:rsid w:val="00D6744A"/>
    <w:rsid w:val="00D70362"/>
    <w:rsid w:val="00D70C99"/>
    <w:rsid w:val="00D72022"/>
    <w:rsid w:val="00D725D5"/>
    <w:rsid w:val="00D72A76"/>
    <w:rsid w:val="00D75720"/>
    <w:rsid w:val="00D771DD"/>
    <w:rsid w:val="00D805F6"/>
    <w:rsid w:val="00D81485"/>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DF4719"/>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6CA0"/>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4F"/>
    <w:rsid w:val="00F30399"/>
    <w:rsid w:val="00F30D73"/>
    <w:rsid w:val="00F311D0"/>
    <w:rsid w:val="00F32025"/>
    <w:rsid w:val="00F32AF2"/>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33B4"/>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8A4"/>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362446"/>
    <w:rsid w:val="015C2B0C"/>
    <w:rsid w:val="01973B44"/>
    <w:rsid w:val="019A6605"/>
    <w:rsid w:val="01B464A4"/>
    <w:rsid w:val="01F114A6"/>
    <w:rsid w:val="0222758A"/>
    <w:rsid w:val="02781BC8"/>
    <w:rsid w:val="02810A7C"/>
    <w:rsid w:val="02897931"/>
    <w:rsid w:val="02B80282"/>
    <w:rsid w:val="02DA63DE"/>
    <w:rsid w:val="03195159"/>
    <w:rsid w:val="031E451D"/>
    <w:rsid w:val="03743A18"/>
    <w:rsid w:val="03864EFF"/>
    <w:rsid w:val="039E565E"/>
    <w:rsid w:val="03A74512"/>
    <w:rsid w:val="03C10F15"/>
    <w:rsid w:val="03C230FA"/>
    <w:rsid w:val="03C926DB"/>
    <w:rsid w:val="03CC3F79"/>
    <w:rsid w:val="03CE2543"/>
    <w:rsid w:val="03D80B70"/>
    <w:rsid w:val="03E56DE9"/>
    <w:rsid w:val="040A12FA"/>
    <w:rsid w:val="04115E30"/>
    <w:rsid w:val="04642403"/>
    <w:rsid w:val="04787C5D"/>
    <w:rsid w:val="0482288A"/>
    <w:rsid w:val="04912ACD"/>
    <w:rsid w:val="04974587"/>
    <w:rsid w:val="04BA3BA2"/>
    <w:rsid w:val="04D255BF"/>
    <w:rsid w:val="04D34972"/>
    <w:rsid w:val="04E2157A"/>
    <w:rsid w:val="04FE3055"/>
    <w:rsid w:val="0506370D"/>
    <w:rsid w:val="051A6F66"/>
    <w:rsid w:val="053E0EA6"/>
    <w:rsid w:val="059211F2"/>
    <w:rsid w:val="059646F9"/>
    <w:rsid w:val="05EB4C61"/>
    <w:rsid w:val="05F544FC"/>
    <w:rsid w:val="06035C4C"/>
    <w:rsid w:val="060743F1"/>
    <w:rsid w:val="060A0D89"/>
    <w:rsid w:val="0611789E"/>
    <w:rsid w:val="06176B60"/>
    <w:rsid w:val="062E7AE7"/>
    <w:rsid w:val="064028B9"/>
    <w:rsid w:val="06473D8B"/>
    <w:rsid w:val="06562220"/>
    <w:rsid w:val="067304F4"/>
    <w:rsid w:val="068C5C42"/>
    <w:rsid w:val="06911C3B"/>
    <w:rsid w:val="06C70A27"/>
    <w:rsid w:val="06CC603E"/>
    <w:rsid w:val="06DF181C"/>
    <w:rsid w:val="06F7130D"/>
    <w:rsid w:val="06FC2DC7"/>
    <w:rsid w:val="0710194F"/>
    <w:rsid w:val="072645C7"/>
    <w:rsid w:val="072D2F81"/>
    <w:rsid w:val="07373DFF"/>
    <w:rsid w:val="07464042"/>
    <w:rsid w:val="07755771"/>
    <w:rsid w:val="07B45BAE"/>
    <w:rsid w:val="07BE62CF"/>
    <w:rsid w:val="07C94DF8"/>
    <w:rsid w:val="07DA5D7D"/>
    <w:rsid w:val="07EF46DA"/>
    <w:rsid w:val="07FE5059"/>
    <w:rsid w:val="083B453C"/>
    <w:rsid w:val="083E11BD"/>
    <w:rsid w:val="08420CAE"/>
    <w:rsid w:val="08471E20"/>
    <w:rsid w:val="084A5DB4"/>
    <w:rsid w:val="08544830"/>
    <w:rsid w:val="086C1887"/>
    <w:rsid w:val="086D0D2A"/>
    <w:rsid w:val="08C94F2B"/>
    <w:rsid w:val="08C96827"/>
    <w:rsid w:val="08CF1E16"/>
    <w:rsid w:val="08E21B49"/>
    <w:rsid w:val="08F23F7E"/>
    <w:rsid w:val="09271C52"/>
    <w:rsid w:val="093F6F9B"/>
    <w:rsid w:val="097053A7"/>
    <w:rsid w:val="09800E33"/>
    <w:rsid w:val="098B0432"/>
    <w:rsid w:val="09A01E43"/>
    <w:rsid w:val="09AA18C7"/>
    <w:rsid w:val="09AA4D5C"/>
    <w:rsid w:val="09B554AF"/>
    <w:rsid w:val="09B841FD"/>
    <w:rsid w:val="09D364EF"/>
    <w:rsid w:val="09DE7F72"/>
    <w:rsid w:val="0A582D29"/>
    <w:rsid w:val="0A8C0583"/>
    <w:rsid w:val="0AD83100"/>
    <w:rsid w:val="0AE20526"/>
    <w:rsid w:val="0AEF054D"/>
    <w:rsid w:val="0B093D05"/>
    <w:rsid w:val="0B0B182B"/>
    <w:rsid w:val="0B0C55A3"/>
    <w:rsid w:val="0B41524D"/>
    <w:rsid w:val="0B446AEB"/>
    <w:rsid w:val="0B7C44D7"/>
    <w:rsid w:val="0B8415DD"/>
    <w:rsid w:val="0B934506"/>
    <w:rsid w:val="0BB21CA6"/>
    <w:rsid w:val="0BC1085D"/>
    <w:rsid w:val="0BD30523"/>
    <w:rsid w:val="0C012D92"/>
    <w:rsid w:val="0C0F534B"/>
    <w:rsid w:val="0C111B5B"/>
    <w:rsid w:val="0C3E7B22"/>
    <w:rsid w:val="0C7156BE"/>
    <w:rsid w:val="0C725932"/>
    <w:rsid w:val="0C7B02EA"/>
    <w:rsid w:val="0C940524"/>
    <w:rsid w:val="0CA75583"/>
    <w:rsid w:val="0CB169C3"/>
    <w:rsid w:val="0CB5212B"/>
    <w:rsid w:val="0CCD48BE"/>
    <w:rsid w:val="0CD81CF7"/>
    <w:rsid w:val="0CE9794A"/>
    <w:rsid w:val="0CF56B83"/>
    <w:rsid w:val="0CFA1B57"/>
    <w:rsid w:val="0CFF0F1B"/>
    <w:rsid w:val="0D35493D"/>
    <w:rsid w:val="0D4E59FF"/>
    <w:rsid w:val="0D7C6A10"/>
    <w:rsid w:val="0D815DD4"/>
    <w:rsid w:val="0DA27AF9"/>
    <w:rsid w:val="0DAD6E75"/>
    <w:rsid w:val="0DCB34F3"/>
    <w:rsid w:val="0DCB704F"/>
    <w:rsid w:val="0DCD726B"/>
    <w:rsid w:val="0DEE7D03"/>
    <w:rsid w:val="0E3746E5"/>
    <w:rsid w:val="0E9438E5"/>
    <w:rsid w:val="0EAE0E4B"/>
    <w:rsid w:val="0EBE0962"/>
    <w:rsid w:val="0F050673"/>
    <w:rsid w:val="0F0A3BA7"/>
    <w:rsid w:val="0F130CAE"/>
    <w:rsid w:val="0F340C24"/>
    <w:rsid w:val="0F735BF1"/>
    <w:rsid w:val="0F896E1A"/>
    <w:rsid w:val="0F8C0A60"/>
    <w:rsid w:val="0FB6788B"/>
    <w:rsid w:val="0FCA0C38"/>
    <w:rsid w:val="0FCB77DB"/>
    <w:rsid w:val="10345380"/>
    <w:rsid w:val="10392996"/>
    <w:rsid w:val="104650B3"/>
    <w:rsid w:val="108005C5"/>
    <w:rsid w:val="10BC5375"/>
    <w:rsid w:val="10F7015B"/>
    <w:rsid w:val="10FD1C16"/>
    <w:rsid w:val="110D100D"/>
    <w:rsid w:val="11513D10"/>
    <w:rsid w:val="117532E4"/>
    <w:rsid w:val="11763776"/>
    <w:rsid w:val="11A02710"/>
    <w:rsid w:val="123C676E"/>
    <w:rsid w:val="124A70DD"/>
    <w:rsid w:val="124D2729"/>
    <w:rsid w:val="126B0EEF"/>
    <w:rsid w:val="12791770"/>
    <w:rsid w:val="127C4DBC"/>
    <w:rsid w:val="129E4D32"/>
    <w:rsid w:val="12A460C1"/>
    <w:rsid w:val="12B502CE"/>
    <w:rsid w:val="13217712"/>
    <w:rsid w:val="1331304A"/>
    <w:rsid w:val="134C0C32"/>
    <w:rsid w:val="1374247B"/>
    <w:rsid w:val="137F2DB6"/>
    <w:rsid w:val="13857F2F"/>
    <w:rsid w:val="138C102F"/>
    <w:rsid w:val="13985C26"/>
    <w:rsid w:val="139D62CF"/>
    <w:rsid w:val="13A20852"/>
    <w:rsid w:val="13A91BE1"/>
    <w:rsid w:val="13C87418"/>
    <w:rsid w:val="13D11138"/>
    <w:rsid w:val="13DC0939"/>
    <w:rsid w:val="13F60B9E"/>
    <w:rsid w:val="14076907"/>
    <w:rsid w:val="14180B15"/>
    <w:rsid w:val="14353475"/>
    <w:rsid w:val="14385EE1"/>
    <w:rsid w:val="145E1537"/>
    <w:rsid w:val="145E5D92"/>
    <w:rsid w:val="14861F22"/>
    <w:rsid w:val="14887A48"/>
    <w:rsid w:val="14B20F69"/>
    <w:rsid w:val="14B46A8F"/>
    <w:rsid w:val="14C33176"/>
    <w:rsid w:val="14C34F24"/>
    <w:rsid w:val="14E07884"/>
    <w:rsid w:val="14E629C1"/>
    <w:rsid w:val="14EF1875"/>
    <w:rsid w:val="151A266A"/>
    <w:rsid w:val="1537612A"/>
    <w:rsid w:val="155362A8"/>
    <w:rsid w:val="155654E8"/>
    <w:rsid w:val="155D099A"/>
    <w:rsid w:val="155E4C4D"/>
    <w:rsid w:val="1569714A"/>
    <w:rsid w:val="15763AC2"/>
    <w:rsid w:val="15882F8B"/>
    <w:rsid w:val="158D108E"/>
    <w:rsid w:val="15B35F47"/>
    <w:rsid w:val="15B62657"/>
    <w:rsid w:val="15BC400E"/>
    <w:rsid w:val="15DD2016"/>
    <w:rsid w:val="160B6B83"/>
    <w:rsid w:val="163D4862"/>
    <w:rsid w:val="16631EEF"/>
    <w:rsid w:val="16693194"/>
    <w:rsid w:val="167C3A26"/>
    <w:rsid w:val="168B3731"/>
    <w:rsid w:val="16A42B33"/>
    <w:rsid w:val="16E456A1"/>
    <w:rsid w:val="170D695F"/>
    <w:rsid w:val="17173305"/>
    <w:rsid w:val="17201D0E"/>
    <w:rsid w:val="172D0D7B"/>
    <w:rsid w:val="175E3CFF"/>
    <w:rsid w:val="17650515"/>
    <w:rsid w:val="176C18A3"/>
    <w:rsid w:val="17877128"/>
    <w:rsid w:val="17AA5F28"/>
    <w:rsid w:val="17B44FF8"/>
    <w:rsid w:val="17F04334"/>
    <w:rsid w:val="17FC075F"/>
    <w:rsid w:val="1807337A"/>
    <w:rsid w:val="180A5FEA"/>
    <w:rsid w:val="18226406"/>
    <w:rsid w:val="18300B23"/>
    <w:rsid w:val="18574301"/>
    <w:rsid w:val="186407CC"/>
    <w:rsid w:val="1864257A"/>
    <w:rsid w:val="187C5B16"/>
    <w:rsid w:val="188D1AD1"/>
    <w:rsid w:val="18AE7C99"/>
    <w:rsid w:val="18C1364B"/>
    <w:rsid w:val="18D63C9D"/>
    <w:rsid w:val="18E27EA6"/>
    <w:rsid w:val="18EB4A4A"/>
    <w:rsid w:val="1901601B"/>
    <w:rsid w:val="19094ED0"/>
    <w:rsid w:val="191000FC"/>
    <w:rsid w:val="1912263B"/>
    <w:rsid w:val="19153875"/>
    <w:rsid w:val="193602F3"/>
    <w:rsid w:val="19375EE1"/>
    <w:rsid w:val="19622F5E"/>
    <w:rsid w:val="196F567B"/>
    <w:rsid w:val="197E141A"/>
    <w:rsid w:val="198729C4"/>
    <w:rsid w:val="199E7D0E"/>
    <w:rsid w:val="19A846E9"/>
    <w:rsid w:val="19C57049"/>
    <w:rsid w:val="19C92FDD"/>
    <w:rsid w:val="19CA1C19"/>
    <w:rsid w:val="19CC6629"/>
    <w:rsid w:val="19D448CA"/>
    <w:rsid w:val="19EE5FA2"/>
    <w:rsid w:val="1A224B4E"/>
    <w:rsid w:val="1A2E2355"/>
    <w:rsid w:val="1A4C776A"/>
    <w:rsid w:val="1A5A1E87"/>
    <w:rsid w:val="1A772A39"/>
    <w:rsid w:val="1A954C6D"/>
    <w:rsid w:val="1A9A04D5"/>
    <w:rsid w:val="1A9F5AEC"/>
    <w:rsid w:val="1AB43762"/>
    <w:rsid w:val="1AD5150D"/>
    <w:rsid w:val="1AE50086"/>
    <w:rsid w:val="1AE71241"/>
    <w:rsid w:val="1AE87493"/>
    <w:rsid w:val="1AED28BA"/>
    <w:rsid w:val="1AFE6224"/>
    <w:rsid w:val="1B193AF0"/>
    <w:rsid w:val="1BB06255"/>
    <w:rsid w:val="1BBF288F"/>
    <w:rsid w:val="1BC02864"/>
    <w:rsid w:val="1BD66E45"/>
    <w:rsid w:val="1BF14125"/>
    <w:rsid w:val="1BF97C50"/>
    <w:rsid w:val="1C057BD0"/>
    <w:rsid w:val="1C1B3898"/>
    <w:rsid w:val="1C4050AC"/>
    <w:rsid w:val="1C5E7E41"/>
    <w:rsid w:val="1C76287C"/>
    <w:rsid w:val="1C84143D"/>
    <w:rsid w:val="1CAC44F0"/>
    <w:rsid w:val="1CAF497B"/>
    <w:rsid w:val="1CC56F05"/>
    <w:rsid w:val="1CE26164"/>
    <w:rsid w:val="1CEB14BC"/>
    <w:rsid w:val="1CFE7CD4"/>
    <w:rsid w:val="1D65301C"/>
    <w:rsid w:val="1D74500E"/>
    <w:rsid w:val="1DB21FDA"/>
    <w:rsid w:val="1DB811DA"/>
    <w:rsid w:val="1E041AD4"/>
    <w:rsid w:val="1E0E4B68"/>
    <w:rsid w:val="1E3E475D"/>
    <w:rsid w:val="1E40188A"/>
    <w:rsid w:val="1E432C32"/>
    <w:rsid w:val="1E4B0BCA"/>
    <w:rsid w:val="1E5170FD"/>
    <w:rsid w:val="1E831280"/>
    <w:rsid w:val="1E854FF8"/>
    <w:rsid w:val="1E894AE9"/>
    <w:rsid w:val="1EBB4EBE"/>
    <w:rsid w:val="1ED1023E"/>
    <w:rsid w:val="1ED57D2E"/>
    <w:rsid w:val="1EF65EF6"/>
    <w:rsid w:val="1EFF4DAB"/>
    <w:rsid w:val="1F0665C8"/>
    <w:rsid w:val="1F507D96"/>
    <w:rsid w:val="1F512EC7"/>
    <w:rsid w:val="1F5A6485"/>
    <w:rsid w:val="1F5D7D23"/>
    <w:rsid w:val="1F7F7C9A"/>
    <w:rsid w:val="1FA31BDA"/>
    <w:rsid w:val="1FC77566"/>
    <w:rsid w:val="1FC81641"/>
    <w:rsid w:val="1FD9525B"/>
    <w:rsid w:val="1FF22B62"/>
    <w:rsid w:val="20012DA5"/>
    <w:rsid w:val="202F7912"/>
    <w:rsid w:val="20315438"/>
    <w:rsid w:val="20593E41"/>
    <w:rsid w:val="20784E15"/>
    <w:rsid w:val="20A0611A"/>
    <w:rsid w:val="20AC0F62"/>
    <w:rsid w:val="20AF50AD"/>
    <w:rsid w:val="20B916C0"/>
    <w:rsid w:val="20E34258"/>
    <w:rsid w:val="20E95D13"/>
    <w:rsid w:val="21036D49"/>
    <w:rsid w:val="21225225"/>
    <w:rsid w:val="212E5E1B"/>
    <w:rsid w:val="213F67F2"/>
    <w:rsid w:val="21442F49"/>
    <w:rsid w:val="215F3D05"/>
    <w:rsid w:val="2164183D"/>
    <w:rsid w:val="216E4827"/>
    <w:rsid w:val="217355DC"/>
    <w:rsid w:val="21AA36F4"/>
    <w:rsid w:val="21B24356"/>
    <w:rsid w:val="21D342CD"/>
    <w:rsid w:val="21DC7625"/>
    <w:rsid w:val="21EA1D42"/>
    <w:rsid w:val="21EE1107"/>
    <w:rsid w:val="222F1E4B"/>
    <w:rsid w:val="2230171F"/>
    <w:rsid w:val="22393550"/>
    <w:rsid w:val="22421B7E"/>
    <w:rsid w:val="226338A3"/>
    <w:rsid w:val="22861FD0"/>
    <w:rsid w:val="228939A2"/>
    <w:rsid w:val="228C4BA7"/>
    <w:rsid w:val="22BD1205"/>
    <w:rsid w:val="22C97BAA"/>
    <w:rsid w:val="22E83DA8"/>
    <w:rsid w:val="22F8048F"/>
    <w:rsid w:val="231F42C2"/>
    <w:rsid w:val="23474F72"/>
    <w:rsid w:val="23530719"/>
    <w:rsid w:val="23807ADE"/>
    <w:rsid w:val="23812232"/>
    <w:rsid w:val="23887A65"/>
    <w:rsid w:val="23894DE5"/>
    <w:rsid w:val="2389558B"/>
    <w:rsid w:val="239113CE"/>
    <w:rsid w:val="23AD1279"/>
    <w:rsid w:val="23AE6D9F"/>
    <w:rsid w:val="23CE0E8F"/>
    <w:rsid w:val="23F34EA3"/>
    <w:rsid w:val="24030E99"/>
    <w:rsid w:val="24073FFF"/>
    <w:rsid w:val="24111308"/>
    <w:rsid w:val="2446522A"/>
    <w:rsid w:val="24773635"/>
    <w:rsid w:val="24A85EE5"/>
    <w:rsid w:val="24B959FC"/>
    <w:rsid w:val="24BB79C6"/>
    <w:rsid w:val="24DB4426"/>
    <w:rsid w:val="250C1FD0"/>
    <w:rsid w:val="252F3F10"/>
    <w:rsid w:val="2561056D"/>
    <w:rsid w:val="25627E42"/>
    <w:rsid w:val="256966EC"/>
    <w:rsid w:val="257D111F"/>
    <w:rsid w:val="25943BF5"/>
    <w:rsid w:val="259A0FCB"/>
    <w:rsid w:val="25C1725E"/>
    <w:rsid w:val="25F80363"/>
    <w:rsid w:val="261C6242"/>
    <w:rsid w:val="263E440B"/>
    <w:rsid w:val="2652435A"/>
    <w:rsid w:val="265801F1"/>
    <w:rsid w:val="26926505"/>
    <w:rsid w:val="26A5092E"/>
    <w:rsid w:val="26B66697"/>
    <w:rsid w:val="26B76B93"/>
    <w:rsid w:val="26CA2142"/>
    <w:rsid w:val="26DE799C"/>
    <w:rsid w:val="26FD5D0B"/>
    <w:rsid w:val="270642B1"/>
    <w:rsid w:val="271635D9"/>
    <w:rsid w:val="27537217"/>
    <w:rsid w:val="275B2D9A"/>
    <w:rsid w:val="27765E26"/>
    <w:rsid w:val="277A3B68"/>
    <w:rsid w:val="27840543"/>
    <w:rsid w:val="278E26E1"/>
    <w:rsid w:val="279B3ADF"/>
    <w:rsid w:val="27B30E28"/>
    <w:rsid w:val="27C272BD"/>
    <w:rsid w:val="27C60B5C"/>
    <w:rsid w:val="27E233D1"/>
    <w:rsid w:val="27F76F67"/>
    <w:rsid w:val="281C4C20"/>
    <w:rsid w:val="28302479"/>
    <w:rsid w:val="284B1061"/>
    <w:rsid w:val="285070E1"/>
    <w:rsid w:val="286D7229"/>
    <w:rsid w:val="28A54C15"/>
    <w:rsid w:val="28C17575"/>
    <w:rsid w:val="28E53263"/>
    <w:rsid w:val="28E84B02"/>
    <w:rsid w:val="28F12430"/>
    <w:rsid w:val="29262A2B"/>
    <w:rsid w:val="294A68B7"/>
    <w:rsid w:val="29526B24"/>
    <w:rsid w:val="29812FA2"/>
    <w:rsid w:val="2984482A"/>
    <w:rsid w:val="298A5BB9"/>
    <w:rsid w:val="299B1B74"/>
    <w:rsid w:val="29A35058"/>
    <w:rsid w:val="29AD25A1"/>
    <w:rsid w:val="29AE5D4B"/>
    <w:rsid w:val="29B175E9"/>
    <w:rsid w:val="29F3375E"/>
    <w:rsid w:val="29F85218"/>
    <w:rsid w:val="2A063491"/>
    <w:rsid w:val="2A083415"/>
    <w:rsid w:val="2A2034DD"/>
    <w:rsid w:val="2A2953D2"/>
    <w:rsid w:val="2A6603D4"/>
    <w:rsid w:val="2A944F41"/>
    <w:rsid w:val="2A954815"/>
    <w:rsid w:val="2A97233B"/>
    <w:rsid w:val="2A997A21"/>
    <w:rsid w:val="2AC739F8"/>
    <w:rsid w:val="2B0379D1"/>
    <w:rsid w:val="2B0F6376"/>
    <w:rsid w:val="2B151B38"/>
    <w:rsid w:val="2B22254D"/>
    <w:rsid w:val="2B386ED4"/>
    <w:rsid w:val="2B3C2EE3"/>
    <w:rsid w:val="2B6F5066"/>
    <w:rsid w:val="2B762899"/>
    <w:rsid w:val="2B7A2B6D"/>
    <w:rsid w:val="2BBEA884"/>
    <w:rsid w:val="2BD733B6"/>
    <w:rsid w:val="2BF832AE"/>
    <w:rsid w:val="2BF862C5"/>
    <w:rsid w:val="2C02237E"/>
    <w:rsid w:val="2C136339"/>
    <w:rsid w:val="2C1856FE"/>
    <w:rsid w:val="2C194BB5"/>
    <w:rsid w:val="2C2E2E86"/>
    <w:rsid w:val="2C332538"/>
    <w:rsid w:val="2C471B3F"/>
    <w:rsid w:val="2C5D5807"/>
    <w:rsid w:val="2C6709DA"/>
    <w:rsid w:val="2C695F59"/>
    <w:rsid w:val="2C7A1F15"/>
    <w:rsid w:val="2C7B0AC6"/>
    <w:rsid w:val="2C94477C"/>
    <w:rsid w:val="2C994916"/>
    <w:rsid w:val="2CBE62A5"/>
    <w:rsid w:val="2CDA5945"/>
    <w:rsid w:val="2CDB00D8"/>
    <w:rsid w:val="2CF717B7"/>
    <w:rsid w:val="2CFD72A7"/>
    <w:rsid w:val="2D0363AE"/>
    <w:rsid w:val="2D340F41"/>
    <w:rsid w:val="2D3447B9"/>
    <w:rsid w:val="2D4C25AF"/>
    <w:rsid w:val="2D4C2D34"/>
    <w:rsid w:val="2D510EC7"/>
    <w:rsid w:val="2D6F75A0"/>
    <w:rsid w:val="2D8236BB"/>
    <w:rsid w:val="2D937732"/>
    <w:rsid w:val="2D962D7E"/>
    <w:rsid w:val="2DB80F46"/>
    <w:rsid w:val="2DC773DC"/>
    <w:rsid w:val="2DD815E9"/>
    <w:rsid w:val="2DD86D16"/>
    <w:rsid w:val="2E112405"/>
    <w:rsid w:val="2E114AFB"/>
    <w:rsid w:val="2E3B533C"/>
    <w:rsid w:val="2E496043"/>
    <w:rsid w:val="2E687169"/>
    <w:rsid w:val="2E8452CD"/>
    <w:rsid w:val="2E961766"/>
    <w:rsid w:val="2EF4287F"/>
    <w:rsid w:val="2EF97A69"/>
    <w:rsid w:val="2EFF6701"/>
    <w:rsid w:val="2F1E15A0"/>
    <w:rsid w:val="2F4F2898"/>
    <w:rsid w:val="2F5B62FF"/>
    <w:rsid w:val="2F8C4439"/>
    <w:rsid w:val="2FAC6889"/>
    <w:rsid w:val="2FD15864"/>
    <w:rsid w:val="2FDD2EE6"/>
    <w:rsid w:val="300435BF"/>
    <w:rsid w:val="30275F10"/>
    <w:rsid w:val="3082583C"/>
    <w:rsid w:val="308A649E"/>
    <w:rsid w:val="309537C1"/>
    <w:rsid w:val="30992AF0"/>
    <w:rsid w:val="30F2476F"/>
    <w:rsid w:val="31186444"/>
    <w:rsid w:val="312C144B"/>
    <w:rsid w:val="31402948"/>
    <w:rsid w:val="314825E1"/>
    <w:rsid w:val="31512807"/>
    <w:rsid w:val="316915C7"/>
    <w:rsid w:val="3183186B"/>
    <w:rsid w:val="318F172B"/>
    <w:rsid w:val="31A17F44"/>
    <w:rsid w:val="31C14142"/>
    <w:rsid w:val="31C30701"/>
    <w:rsid w:val="31CC0D19"/>
    <w:rsid w:val="32161A2F"/>
    <w:rsid w:val="321F7222"/>
    <w:rsid w:val="32222E32"/>
    <w:rsid w:val="323A4620"/>
    <w:rsid w:val="32672F3B"/>
    <w:rsid w:val="32847649"/>
    <w:rsid w:val="329B4993"/>
    <w:rsid w:val="32AC3044"/>
    <w:rsid w:val="32B37F2E"/>
    <w:rsid w:val="32BD0DAD"/>
    <w:rsid w:val="32EA5B01"/>
    <w:rsid w:val="32EC50D1"/>
    <w:rsid w:val="32F32D69"/>
    <w:rsid w:val="330E33B7"/>
    <w:rsid w:val="331D35FA"/>
    <w:rsid w:val="331F55C4"/>
    <w:rsid w:val="333D5A4A"/>
    <w:rsid w:val="338143E2"/>
    <w:rsid w:val="339A10EE"/>
    <w:rsid w:val="33D60378"/>
    <w:rsid w:val="33D7637B"/>
    <w:rsid w:val="33DB598F"/>
    <w:rsid w:val="33E51771"/>
    <w:rsid w:val="340A1DD0"/>
    <w:rsid w:val="340C5B48"/>
    <w:rsid w:val="34134822"/>
    <w:rsid w:val="341D7D55"/>
    <w:rsid w:val="34211F6F"/>
    <w:rsid w:val="34263328"/>
    <w:rsid w:val="343609D9"/>
    <w:rsid w:val="344838C6"/>
    <w:rsid w:val="345629A3"/>
    <w:rsid w:val="34607C42"/>
    <w:rsid w:val="346C2A8B"/>
    <w:rsid w:val="347656B7"/>
    <w:rsid w:val="348A7FAD"/>
    <w:rsid w:val="349B3370"/>
    <w:rsid w:val="34AC732B"/>
    <w:rsid w:val="34D16D92"/>
    <w:rsid w:val="34D35E87"/>
    <w:rsid w:val="34EF321A"/>
    <w:rsid w:val="350408C0"/>
    <w:rsid w:val="351132A0"/>
    <w:rsid w:val="35374E47"/>
    <w:rsid w:val="354D6418"/>
    <w:rsid w:val="355E0625"/>
    <w:rsid w:val="357716E7"/>
    <w:rsid w:val="358D4A67"/>
    <w:rsid w:val="359027A9"/>
    <w:rsid w:val="35CF32D1"/>
    <w:rsid w:val="35DA6E13"/>
    <w:rsid w:val="35E328D9"/>
    <w:rsid w:val="35E36D7D"/>
    <w:rsid w:val="35F42D38"/>
    <w:rsid w:val="360867E3"/>
    <w:rsid w:val="3619279E"/>
    <w:rsid w:val="361B5455"/>
    <w:rsid w:val="36203B2D"/>
    <w:rsid w:val="3621224A"/>
    <w:rsid w:val="362C7D17"/>
    <w:rsid w:val="363650FE"/>
    <w:rsid w:val="364C4922"/>
    <w:rsid w:val="364C6893"/>
    <w:rsid w:val="36566AEC"/>
    <w:rsid w:val="36633218"/>
    <w:rsid w:val="3679148F"/>
    <w:rsid w:val="368D02EB"/>
    <w:rsid w:val="36993F4C"/>
    <w:rsid w:val="36F17277"/>
    <w:rsid w:val="36FA3E2C"/>
    <w:rsid w:val="36FF8523"/>
    <w:rsid w:val="371371EE"/>
    <w:rsid w:val="37225683"/>
    <w:rsid w:val="37227431"/>
    <w:rsid w:val="372C02AF"/>
    <w:rsid w:val="3768578B"/>
    <w:rsid w:val="376E73E8"/>
    <w:rsid w:val="377063EE"/>
    <w:rsid w:val="37762230"/>
    <w:rsid w:val="37A8206E"/>
    <w:rsid w:val="37B41627"/>
    <w:rsid w:val="37D22C05"/>
    <w:rsid w:val="37FD1C9D"/>
    <w:rsid w:val="381256F7"/>
    <w:rsid w:val="381E6D69"/>
    <w:rsid w:val="38305B7D"/>
    <w:rsid w:val="385775AE"/>
    <w:rsid w:val="38A703B1"/>
    <w:rsid w:val="38AF2A5C"/>
    <w:rsid w:val="38CF35E8"/>
    <w:rsid w:val="39137979"/>
    <w:rsid w:val="39311BAD"/>
    <w:rsid w:val="39602492"/>
    <w:rsid w:val="39792378"/>
    <w:rsid w:val="39861EF9"/>
    <w:rsid w:val="39BF540B"/>
    <w:rsid w:val="39FD2DAF"/>
    <w:rsid w:val="3A1F344D"/>
    <w:rsid w:val="3A5F0EF9"/>
    <w:rsid w:val="3A920D71"/>
    <w:rsid w:val="3A922B1F"/>
    <w:rsid w:val="3A9B19D4"/>
    <w:rsid w:val="3AAC3BE1"/>
    <w:rsid w:val="3AB94550"/>
    <w:rsid w:val="3ABE37BD"/>
    <w:rsid w:val="3AE113B1"/>
    <w:rsid w:val="3B3836C7"/>
    <w:rsid w:val="3B392B26"/>
    <w:rsid w:val="3B393738"/>
    <w:rsid w:val="3B423A2A"/>
    <w:rsid w:val="3B626996"/>
    <w:rsid w:val="3B7F12F6"/>
    <w:rsid w:val="3B84690C"/>
    <w:rsid w:val="3B954FF7"/>
    <w:rsid w:val="3BA64AD4"/>
    <w:rsid w:val="3BAE2B3E"/>
    <w:rsid w:val="3C241E9D"/>
    <w:rsid w:val="3C3107DE"/>
    <w:rsid w:val="3C7C5835"/>
    <w:rsid w:val="3C7C75E3"/>
    <w:rsid w:val="3CA8662A"/>
    <w:rsid w:val="3CB7686D"/>
    <w:rsid w:val="3CC03910"/>
    <w:rsid w:val="3CD967E3"/>
    <w:rsid w:val="3CE13130"/>
    <w:rsid w:val="3CED6733"/>
    <w:rsid w:val="3CF67395"/>
    <w:rsid w:val="3D071CAB"/>
    <w:rsid w:val="3D204412"/>
    <w:rsid w:val="3D363C36"/>
    <w:rsid w:val="3D4307CD"/>
    <w:rsid w:val="3D821B44"/>
    <w:rsid w:val="3DB42DAD"/>
    <w:rsid w:val="3DFF2539"/>
    <w:rsid w:val="3E0A1E11"/>
    <w:rsid w:val="3E1D2E8C"/>
    <w:rsid w:val="3E217CF7"/>
    <w:rsid w:val="3E224500"/>
    <w:rsid w:val="3E3A6D60"/>
    <w:rsid w:val="3E546D12"/>
    <w:rsid w:val="3E9A001E"/>
    <w:rsid w:val="3EA01CAF"/>
    <w:rsid w:val="3EE55913"/>
    <w:rsid w:val="3EEA4CD8"/>
    <w:rsid w:val="3F424126"/>
    <w:rsid w:val="3F4C14EF"/>
    <w:rsid w:val="3F514D57"/>
    <w:rsid w:val="3F8A0269"/>
    <w:rsid w:val="3FBF7490"/>
    <w:rsid w:val="3FD20CE1"/>
    <w:rsid w:val="3FF57DD8"/>
    <w:rsid w:val="40161AFD"/>
    <w:rsid w:val="404448BC"/>
    <w:rsid w:val="40AB66E9"/>
    <w:rsid w:val="40C57034"/>
    <w:rsid w:val="40D55514"/>
    <w:rsid w:val="40F276D3"/>
    <w:rsid w:val="40FE0F0E"/>
    <w:rsid w:val="413466DE"/>
    <w:rsid w:val="41384D9B"/>
    <w:rsid w:val="416F5968"/>
    <w:rsid w:val="41990C37"/>
    <w:rsid w:val="41AF3FB7"/>
    <w:rsid w:val="41CE6B33"/>
    <w:rsid w:val="42024A2E"/>
    <w:rsid w:val="422B3D00"/>
    <w:rsid w:val="42310E70"/>
    <w:rsid w:val="424554D5"/>
    <w:rsid w:val="424D66F6"/>
    <w:rsid w:val="4255177A"/>
    <w:rsid w:val="425863FC"/>
    <w:rsid w:val="42864D18"/>
    <w:rsid w:val="42C250AD"/>
    <w:rsid w:val="42C5077A"/>
    <w:rsid w:val="42D27F5D"/>
    <w:rsid w:val="42D71F86"/>
    <w:rsid w:val="42EB57F3"/>
    <w:rsid w:val="4303280C"/>
    <w:rsid w:val="430B16C1"/>
    <w:rsid w:val="431A1904"/>
    <w:rsid w:val="43244531"/>
    <w:rsid w:val="434059E8"/>
    <w:rsid w:val="43461CAB"/>
    <w:rsid w:val="434D3A87"/>
    <w:rsid w:val="436314FD"/>
    <w:rsid w:val="43761230"/>
    <w:rsid w:val="43770B04"/>
    <w:rsid w:val="43821950"/>
    <w:rsid w:val="43876C92"/>
    <w:rsid w:val="43963680"/>
    <w:rsid w:val="43993170"/>
    <w:rsid w:val="43BE4985"/>
    <w:rsid w:val="43CA332A"/>
    <w:rsid w:val="43E731C5"/>
    <w:rsid w:val="43EC14F2"/>
    <w:rsid w:val="43FA3C0F"/>
    <w:rsid w:val="441D78FE"/>
    <w:rsid w:val="441E243A"/>
    <w:rsid w:val="441F3676"/>
    <w:rsid w:val="442F2A94"/>
    <w:rsid w:val="443D3AFC"/>
    <w:rsid w:val="445B0426"/>
    <w:rsid w:val="446452AC"/>
    <w:rsid w:val="44810A2A"/>
    <w:rsid w:val="448A44A5"/>
    <w:rsid w:val="449556E6"/>
    <w:rsid w:val="44A01C25"/>
    <w:rsid w:val="44B518E4"/>
    <w:rsid w:val="44BA5961"/>
    <w:rsid w:val="44C47D79"/>
    <w:rsid w:val="44C85ABB"/>
    <w:rsid w:val="44CE0BF8"/>
    <w:rsid w:val="44D0671E"/>
    <w:rsid w:val="44D3620E"/>
    <w:rsid w:val="44ED471A"/>
    <w:rsid w:val="44ED72D0"/>
    <w:rsid w:val="44F13834"/>
    <w:rsid w:val="44F7014F"/>
    <w:rsid w:val="44FF7003"/>
    <w:rsid w:val="45060392"/>
    <w:rsid w:val="450B59A8"/>
    <w:rsid w:val="45124F88"/>
    <w:rsid w:val="455F7AA2"/>
    <w:rsid w:val="45806396"/>
    <w:rsid w:val="458A2D7F"/>
    <w:rsid w:val="458B7560"/>
    <w:rsid w:val="45A1630C"/>
    <w:rsid w:val="45A32084"/>
    <w:rsid w:val="45B7168C"/>
    <w:rsid w:val="45D36916"/>
    <w:rsid w:val="45DD2FDA"/>
    <w:rsid w:val="46274A64"/>
    <w:rsid w:val="46472A10"/>
    <w:rsid w:val="46843C64"/>
    <w:rsid w:val="46A41C10"/>
    <w:rsid w:val="46E666DE"/>
    <w:rsid w:val="46E93AC7"/>
    <w:rsid w:val="46F26E20"/>
    <w:rsid w:val="46FC7C9E"/>
    <w:rsid w:val="470B57F8"/>
    <w:rsid w:val="471E29FF"/>
    <w:rsid w:val="47243D6E"/>
    <w:rsid w:val="472471F5"/>
    <w:rsid w:val="472745EF"/>
    <w:rsid w:val="472D42FC"/>
    <w:rsid w:val="473236C0"/>
    <w:rsid w:val="4739668B"/>
    <w:rsid w:val="474358CD"/>
    <w:rsid w:val="475C7DB9"/>
    <w:rsid w:val="477F61D9"/>
    <w:rsid w:val="47961EA1"/>
    <w:rsid w:val="47A44213"/>
    <w:rsid w:val="47A91720"/>
    <w:rsid w:val="47AA76FA"/>
    <w:rsid w:val="47B40579"/>
    <w:rsid w:val="47DC362C"/>
    <w:rsid w:val="47FF1B47"/>
    <w:rsid w:val="480B0368"/>
    <w:rsid w:val="4817039A"/>
    <w:rsid w:val="48547666"/>
    <w:rsid w:val="488B70C7"/>
    <w:rsid w:val="489F1C54"/>
    <w:rsid w:val="48D80297"/>
    <w:rsid w:val="48EC3D42"/>
    <w:rsid w:val="49180694"/>
    <w:rsid w:val="491D6606"/>
    <w:rsid w:val="49296D45"/>
    <w:rsid w:val="49506F34"/>
    <w:rsid w:val="497C0C22"/>
    <w:rsid w:val="49BE7DC6"/>
    <w:rsid w:val="49BF4FB3"/>
    <w:rsid w:val="49D61A36"/>
    <w:rsid w:val="49DE368B"/>
    <w:rsid w:val="4A030C7A"/>
    <w:rsid w:val="4A0A0924"/>
    <w:rsid w:val="4A0F5F3A"/>
    <w:rsid w:val="4A214DD9"/>
    <w:rsid w:val="4A2614A0"/>
    <w:rsid w:val="4A3B6D2F"/>
    <w:rsid w:val="4A4060F4"/>
    <w:rsid w:val="4A6A7B82"/>
    <w:rsid w:val="4A7144FF"/>
    <w:rsid w:val="4A7364C9"/>
    <w:rsid w:val="4A7D10F6"/>
    <w:rsid w:val="4A8061D0"/>
    <w:rsid w:val="4A834C0C"/>
    <w:rsid w:val="4A8F4985"/>
    <w:rsid w:val="4A987CDE"/>
    <w:rsid w:val="4AA07A42"/>
    <w:rsid w:val="4ABE229A"/>
    <w:rsid w:val="4AC705C3"/>
    <w:rsid w:val="4ADA27FE"/>
    <w:rsid w:val="4ADA6548"/>
    <w:rsid w:val="4ADD3943"/>
    <w:rsid w:val="4AE90539"/>
    <w:rsid w:val="4AF91B85"/>
    <w:rsid w:val="4AFC64BF"/>
    <w:rsid w:val="4B313C8F"/>
    <w:rsid w:val="4B3D2633"/>
    <w:rsid w:val="4B6909DA"/>
    <w:rsid w:val="4B8D0681"/>
    <w:rsid w:val="4BB5666E"/>
    <w:rsid w:val="4BCD1C09"/>
    <w:rsid w:val="4BD905AE"/>
    <w:rsid w:val="4BDF36EB"/>
    <w:rsid w:val="4BF953A4"/>
    <w:rsid w:val="4C0F3FD0"/>
    <w:rsid w:val="4C2C4B82"/>
    <w:rsid w:val="4C2F6420"/>
    <w:rsid w:val="4C5C1AED"/>
    <w:rsid w:val="4CA06E6A"/>
    <w:rsid w:val="4CAF7561"/>
    <w:rsid w:val="4CBD1C7E"/>
    <w:rsid w:val="4CD927C4"/>
    <w:rsid w:val="4CED1DD3"/>
    <w:rsid w:val="4CEF795D"/>
    <w:rsid w:val="4CFE5DF2"/>
    <w:rsid w:val="4D027691"/>
    <w:rsid w:val="4D195D2A"/>
    <w:rsid w:val="4D1A70D0"/>
    <w:rsid w:val="4D2211D8"/>
    <w:rsid w:val="4D42093A"/>
    <w:rsid w:val="4D673998"/>
    <w:rsid w:val="4D9549A9"/>
    <w:rsid w:val="4DEB281B"/>
    <w:rsid w:val="4E3A59BC"/>
    <w:rsid w:val="4E451F2B"/>
    <w:rsid w:val="4E4E3531"/>
    <w:rsid w:val="4E6B74B7"/>
    <w:rsid w:val="4E6C395B"/>
    <w:rsid w:val="4E9764FE"/>
    <w:rsid w:val="4EA2112B"/>
    <w:rsid w:val="4EAD7AD0"/>
    <w:rsid w:val="4ED92673"/>
    <w:rsid w:val="4F204746"/>
    <w:rsid w:val="4F2730B0"/>
    <w:rsid w:val="4F304989"/>
    <w:rsid w:val="4F6E54B1"/>
    <w:rsid w:val="4F702FD7"/>
    <w:rsid w:val="4FBC621D"/>
    <w:rsid w:val="50047BC4"/>
    <w:rsid w:val="507210BD"/>
    <w:rsid w:val="50775E5E"/>
    <w:rsid w:val="50812FC2"/>
    <w:rsid w:val="5099030C"/>
    <w:rsid w:val="50B341F7"/>
    <w:rsid w:val="50C335DB"/>
    <w:rsid w:val="50D36CAA"/>
    <w:rsid w:val="50DD469C"/>
    <w:rsid w:val="5139389D"/>
    <w:rsid w:val="51883842"/>
    <w:rsid w:val="518B234A"/>
    <w:rsid w:val="519318B8"/>
    <w:rsid w:val="51937451"/>
    <w:rsid w:val="51A45CFD"/>
    <w:rsid w:val="51C4585C"/>
    <w:rsid w:val="51C67325"/>
    <w:rsid w:val="51D05FAF"/>
    <w:rsid w:val="51E11F6A"/>
    <w:rsid w:val="520774F7"/>
    <w:rsid w:val="522D51B0"/>
    <w:rsid w:val="522F275B"/>
    <w:rsid w:val="525A7F6F"/>
    <w:rsid w:val="526134F3"/>
    <w:rsid w:val="526931B9"/>
    <w:rsid w:val="52905E25"/>
    <w:rsid w:val="529451C4"/>
    <w:rsid w:val="529C40E3"/>
    <w:rsid w:val="52C8312A"/>
    <w:rsid w:val="52CF44B9"/>
    <w:rsid w:val="530107CC"/>
    <w:rsid w:val="53025ED5"/>
    <w:rsid w:val="5305612D"/>
    <w:rsid w:val="53185E60"/>
    <w:rsid w:val="534357AA"/>
    <w:rsid w:val="53514ECE"/>
    <w:rsid w:val="5362532D"/>
    <w:rsid w:val="53815038"/>
    <w:rsid w:val="539B77BD"/>
    <w:rsid w:val="53BB67EB"/>
    <w:rsid w:val="53C9715A"/>
    <w:rsid w:val="53F51CFD"/>
    <w:rsid w:val="53FA7313"/>
    <w:rsid w:val="54244390"/>
    <w:rsid w:val="54370568"/>
    <w:rsid w:val="543958AF"/>
    <w:rsid w:val="54482C97"/>
    <w:rsid w:val="545A6004"/>
    <w:rsid w:val="545C3B2A"/>
    <w:rsid w:val="54684BC5"/>
    <w:rsid w:val="54EA382C"/>
    <w:rsid w:val="55331601"/>
    <w:rsid w:val="55676C2B"/>
    <w:rsid w:val="55735DDC"/>
    <w:rsid w:val="55AF2380"/>
    <w:rsid w:val="55B41744"/>
    <w:rsid w:val="562E599A"/>
    <w:rsid w:val="56335624"/>
    <w:rsid w:val="567D422C"/>
    <w:rsid w:val="56B45E9F"/>
    <w:rsid w:val="56B85264"/>
    <w:rsid w:val="56DC3AF1"/>
    <w:rsid w:val="56E21092"/>
    <w:rsid w:val="570070AD"/>
    <w:rsid w:val="57236B1A"/>
    <w:rsid w:val="574134AB"/>
    <w:rsid w:val="57AF22B0"/>
    <w:rsid w:val="57AF48B9"/>
    <w:rsid w:val="57BB500C"/>
    <w:rsid w:val="57CC7219"/>
    <w:rsid w:val="57CE11E3"/>
    <w:rsid w:val="57D460CD"/>
    <w:rsid w:val="57D55747"/>
    <w:rsid w:val="57DA75C4"/>
    <w:rsid w:val="5809221B"/>
    <w:rsid w:val="581F37ED"/>
    <w:rsid w:val="582E4F8E"/>
    <w:rsid w:val="58381CA0"/>
    <w:rsid w:val="587D49B7"/>
    <w:rsid w:val="588D4BFA"/>
    <w:rsid w:val="589870FB"/>
    <w:rsid w:val="58D2085F"/>
    <w:rsid w:val="58D7052F"/>
    <w:rsid w:val="58DB77F6"/>
    <w:rsid w:val="58E014AC"/>
    <w:rsid w:val="58F93A92"/>
    <w:rsid w:val="58FA6008"/>
    <w:rsid w:val="58FB7309"/>
    <w:rsid w:val="590454E8"/>
    <w:rsid w:val="59050C34"/>
    <w:rsid w:val="5928261F"/>
    <w:rsid w:val="59381673"/>
    <w:rsid w:val="594114A7"/>
    <w:rsid w:val="59652251"/>
    <w:rsid w:val="598558D1"/>
    <w:rsid w:val="59BE2F36"/>
    <w:rsid w:val="5A236E98"/>
    <w:rsid w:val="5A36306F"/>
    <w:rsid w:val="5A5A147A"/>
    <w:rsid w:val="5A736072"/>
    <w:rsid w:val="5AC27BA3"/>
    <w:rsid w:val="5AC72DBB"/>
    <w:rsid w:val="5AC9641E"/>
    <w:rsid w:val="5ACB1A0A"/>
    <w:rsid w:val="5AD20FEA"/>
    <w:rsid w:val="5AFA409D"/>
    <w:rsid w:val="5B171764"/>
    <w:rsid w:val="5B4E79DC"/>
    <w:rsid w:val="5B6F05E7"/>
    <w:rsid w:val="5BC70423"/>
    <w:rsid w:val="5BFE7BBD"/>
    <w:rsid w:val="5C2A2760"/>
    <w:rsid w:val="5C5B6DBD"/>
    <w:rsid w:val="5C621D5E"/>
    <w:rsid w:val="5C6E4D42"/>
    <w:rsid w:val="5C862E2F"/>
    <w:rsid w:val="5C8E7193"/>
    <w:rsid w:val="5CB12E81"/>
    <w:rsid w:val="5CCA1DF3"/>
    <w:rsid w:val="5CD916E6"/>
    <w:rsid w:val="5CDB3A5A"/>
    <w:rsid w:val="5CE13766"/>
    <w:rsid w:val="5CEE378D"/>
    <w:rsid w:val="5D0016B7"/>
    <w:rsid w:val="5D303DA6"/>
    <w:rsid w:val="5D487342"/>
    <w:rsid w:val="5D663C6C"/>
    <w:rsid w:val="5D9E6F62"/>
    <w:rsid w:val="5DA0481A"/>
    <w:rsid w:val="5DA622BA"/>
    <w:rsid w:val="5DAA4E8C"/>
    <w:rsid w:val="5DB70023"/>
    <w:rsid w:val="5DC1697B"/>
    <w:rsid w:val="5DE73612"/>
    <w:rsid w:val="5E06456C"/>
    <w:rsid w:val="5E0F1C0D"/>
    <w:rsid w:val="5E90073D"/>
    <w:rsid w:val="5EA54320"/>
    <w:rsid w:val="5ECE3876"/>
    <w:rsid w:val="5EFA7B3F"/>
    <w:rsid w:val="5F08322C"/>
    <w:rsid w:val="5F097171"/>
    <w:rsid w:val="5F1C0A86"/>
    <w:rsid w:val="5F337B7D"/>
    <w:rsid w:val="5F3F6522"/>
    <w:rsid w:val="5F434264"/>
    <w:rsid w:val="5F584042"/>
    <w:rsid w:val="5F5F4E16"/>
    <w:rsid w:val="5F7A755A"/>
    <w:rsid w:val="5FA8056B"/>
    <w:rsid w:val="5FB23198"/>
    <w:rsid w:val="6058457E"/>
    <w:rsid w:val="60780305"/>
    <w:rsid w:val="608E7761"/>
    <w:rsid w:val="609B00D0"/>
    <w:rsid w:val="60B30F76"/>
    <w:rsid w:val="60B63FB4"/>
    <w:rsid w:val="60DA29A7"/>
    <w:rsid w:val="611539DF"/>
    <w:rsid w:val="61271B17"/>
    <w:rsid w:val="6166423A"/>
    <w:rsid w:val="61881C02"/>
    <w:rsid w:val="61AF3E33"/>
    <w:rsid w:val="61CB0541"/>
    <w:rsid w:val="61CD3451"/>
    <w:rsid w:val="61D54F1C"/>
    <w:rsid w:val="61EE2C12"/>
    <w:rsid w:val="620B5A44"/>
    <w:rsid w:val="621F43E9"/>
    <w:rsid w:val="62214605"/>
    <w:rsid w:val="62344338"/>
    <w:rsid w:val="624F4CCE"/>
    <w:rsid w:val="62500A46"/>
    <w:rsid w:val="62562501"/>
    <w:rsid w:val="625E3163"/>
    <w:rsid w:val="626B762E"/>
    <w:rsid w:val="627961EF"/>
    <w:rsid w:val="628A3F58"/>
    <w:rsid w:val="629D3C8C"/>
    <w:rsid w:val="62A21FF1"/>
    <w:rsid w:val="62D81168"/>
    <w:rsid w:val="62FF66F4"/>
    <w:rsid w:val="630C48EC"/>
    <w:rsid w:val="633C6ADE"/>
    <w:rsid w:val="63520F1A"/>
    <w:rsid w:val="635B76A3"/>
    <w:rsid w:val="63671A75"/>
    <w:rsid w:val="63870498"/>
    <w:rsid w:val="63957059"/>
    <w:rsid w:val="63A36CE6"/>
    <w:rsid w:val="63D133A8"/>
    <w:rsid w:val="63DA0F0F"/>
    <w:rsid w:val="63E453B6"/>
    <w:rsid w:val="64354398"/>
    <w:rsid w:val="6459716B"/>
    <w:rsid w:val="64642182"/>
    <w:rsid w:val="648C045C"/>
    <w:rsid w:val="64BE6D4B"/>
    <w:rsid w:val="64D248F0"/>
    <w:rsid w:val="64D96253"/>
    <w:rsid w:val="64F34037"/>
    <w:rsid w:val="65044496"/>
    <w:rsid w:val="6537195E"/>
    <w:rsid w:val="653C55F0"/>
    <w:rsid w:val="654F4FE5"/>
    <w:rsid w:val="65516FAF"/>
    <w:rsid w:val="655E16AA"/>
    <w:rsid w:val="656071F2"/>
    <w:rsid w:val="65622F6B"/>
    <w:rsid w:val="65A6425C"/>
    <w:rsid w:val="65C9123C"/>
    <w:rsid w:val="65D5198E"/>
    <w:rsid w:val="65E16737"/>
    <w:rsid w:val="661324B7"/>
    <w:rsid w:val="662446C4"/>
    <w:rsid w:val="66332254"/>
    <w:rsid w:val="664545A7"/>
    <w:rsid w:val="6654299D"/>
    <w:rsid w:val="66891737"/>
    <w:rsid w:val="66FD119D"/>
    <w:rsid w:val="671309C0"/>
    <w:rsid w:val="671E0561"/>
    <w:rsid w:val="6740552D"/>
    <w:rsid w:val="6784541A"/>
    <w:rsid w:val="67EA6081"/>
    <w:rsid w:val="67EB5E06"/>
    <w:rsid w:val="68273FF7"/>
    <w:rsid w:val="68773BBF"/>
    <w:rsid w:val="688558EE"/>
    <w:rsid w:val="688F051A"/>
    <w:rsid w:val="68B55CD6"/>
    <w:rsid w:val="68C4098D"/>
    <w:rsid w:val="68DB3760"/>
    <w:rsid w:val="68EE53C3"/>
    <w:rsid w:val="68F4037D"/>
    <w:rsid w:val="690D6FEC"/>
    <w:rsid w:val="692C7B17"/>
    <w:rsid w:val="69643755"/>
    <w:rsid w:val="696E0130"/>
    <w:rsid w:val="69872FA0"/>
    <w:rsid w:val="69B3188B"/>
    <w:rsid w:val="69BF35F2"/>
    <w:rsid w:val="69E214AB"/>
    <w:rsid w:val="69E77EE2"/>
    <w:rsid w:val="69F148BD"/>
    <w:rsid w:val="6A130CD7"/>
    <w:rsid w:val="6A3F1ACC"/>
    <w:rsid w:val="6A46342B"/>
    <w:rsid w:val="6A4B7D7B"/>
    <w:rsid w:val="6A523D66"/>
    <w:rsid w:val="6A550E7D"/>
    <w:rsid w:val="6A630508"/>
    <w:rsid w:val="6A682BE6"/>
    <w:rsid w:val="6A6D73D5"/>
    <w:rsid w:val="6AA10091"/>
    <w:rsid w:val="6AA560DB"/>
    <w:rsid w:val="6AB9187F"/>
    <w:rsid w:val="6AC124E1"/>
    <w:rsid w:val="6ACA27C5"/>
    <w:rsid w:val="6AD93CCF"/>
    <w:rsid w:val="6AE306AA"/>
    <w:rsid w:val="6AED777A"/>
    <w:rsid w:val="6AF560F4"/>
    <w:rsid w:val="6AFE295E"/>
    <w:rsid w:val="6B087B15"/>
    <w:rsid w:val="6B1C3BBC"/>
    <w:rsid w:val="6B482C03"/>
    <w:rsid w:val="6B5275DD"/>
    <w:rsid w:val="6B96571C"/>
    <w:rsid w:val="6BA77929"/>
    <w:rsid w:val="6BB87D88"/>
    <w:rsid w:val="6BBA58AE"/>
    <w:rsid w:val="6BC16BAF"/>
    <w:rsid w:val="6BC40333"/>
    <w:rsid w:val="6BE9320D"/>
    <w:rsid w:val="6BF3491C"/>
    <w:rsid w:val="6BF677F3"/>
    <w:rsid w:val="6C360CAD"/>
    <w:rsid w:val="6C4E4249"/>
    <w:rsid w:val="6C553829"/>
    <w:rsid w:val="6C5630FD"/>
    <w:rsid w:val="6CB77C09"/>
    <w:rsid w:val="6CF9240B"/>
    <w:rsid w:val="6D48513C"/>
    <w:rsid w:val="6D5B6C1D"/>
    <w:rsid w:val="6D6476CF"/>
    <w:rsid w:val="6DA4643F"/>
    <w:rsid w:val="6DA5433C"/>
    <w:rsid w:val="6DA95E85"/>
    <w:rsid w:val="6DEC6BCD"/>
    <w:rsid w:val="6E050C20"/>
    <w:rsid w:val="6E1119D2"/>
    <w:rsid w:val="6E1F40EF"/>
    <w:rsid w:val="6E30412A"/>
    <w:rsid w:val="6E6506EE"/>
    <w:rsid w:val="6E6E472E"/>
    <w:rsid w:val="6E8862B4"/>
    <w:rsid w:val="6E891670"/>
    <w:rsid w:val="6EA61570"/>
    <w:rsid w:val="6ECB03FB"/>
    <w:rsid w:val="6EF2535F"/>
    <w:rsid w:val="6F2D6397"/>
    <w:rsid w:val="6F305E87"/>
    <w:rsid w:val="6F3977C0"/>
    <w:rsid w:val="6F3A0AB4"/>
    <w:rsid w:val="6F410095"/>
    <w:rsid w:val="6F450F10"/>
    <w:rsid w:val="6F4F0424"/>
    <w:rsid w:val="6F6049BF"/>
    <w:rsid w:val="6F6D49E6"/>
    <w:rsid w:val="6F997ED1"/>
    <w:rsid w:val="6FB05AD0"/>
    <w:rsid w:val="6FB70357"/>
    <w:rsid w:val="6FB978CB"/>
    <w:rsid w:val="6FC52A74"/>
    <w:rsid w:val="6FE0340A"/>
    <w:rsid w:val="6FEF093F"/>
    <w:rsid w:val="7000707A"/>
    <w:rsid w:val="70031153"/>
    <w:rsid w:val="70082909"/>
    <w:rsid w:val="70180DF5"/>
    <w:rsid w:val="70310109"/>
    <w:rsid w:val="705931BC"/>
    <w:rsid w:val="70650803"/>
    <w:rsid w:val="70762060"/>
    <w:rsid w:val="70C525FF"/>
    <w:rsid w:val="70C90342"/>
    <w:rsid w:val="70CE3BAA"/>
    <w:rsid w:val="70F250FA"/>
    <w:rsid w:val="70F57389"/>
    <w:rsid w:val="71035FB5"/>
    <w:rsid w:val="71341C5F"/>
    <w:rsid w:val="7137174F"/>
    <w:rsid w:val="713B0076"/>
    <w:rsid w:val="713C6D66"/>
    <w:rsid w:val="7148395C"/>
    <w:rsid w:val="71663DE2"/>
    <w:rsid w:val="717604C9"/>
    <w:rsid w:val="71834994"/>
    <w:rsid w:val="718D136F"/>
    <w:rsid w:val="71B20DD6"/>
    <w:rsid w:val="71BB412E"/>
    <w:rsid w:val="71C85AF3"/>
    <w:rsid w:val="71FC09FC"/>
    <w:rsid w:val="72023B0B"/>
    <w:rsid w:val="72111FA0"/>
    <w:rsid w:val="72161069"/>
    <w:rsid w:val="72281098"/>
    <w:rsid w:val="72327200"/>
    <w:rsid w:val="724F0D1A"/>
    <w:rsid w:val="727C3822"/>
    <w:rsid w:val="729E4478"/>
    <w:rsid w:val="72AA7CFF"/>
    <w:rsid w:val="72BB3CBA"/>
    <w:rsid w:val="72BD643A"/>
    <w:rsid w:val="72CE7E91"/>
    <w:rsid w:val="72E476B5"/>
    <w:rsid w:val="72ED450E"/>
    <w:rsid w:val="72F571CC"/>
    <w:rsid w:val="731C6E4F"/>
    <w:rsid w:val="73247AB1"/>
    <w:rsid w:val="73351CBE"/>
    <w:rsid w:val="733969D4"/>
    <w:rsid w:val="733F0D8F"/>
    <w:rsid w:val="734B5EE5"/>
    <w:rsid w:val="734E5E3C"/>
    <w:rsid w:val="734F0FD2"/>
    <w:rsid w:val="73577E87"/>
    <w:rsid w:val="735A34D3"/>
    <w:rsid w:val="735A7977"/>
    <w:rsid w:val="735C3238"/>
    <w:rsid w:val="735F08EC"/>
    <w:rsid w:val="73636FEB"/>
    <w:rsid w:val="737E3665"/>
    <w:rsid w:val="737F2F3A"/>
    <w:rsid w:val="738549F4"/>
    <w:rsid w:val="73880040"/>
    <w:rsid w:val="738B18DE"/>
    <w:rsid w:val="73A40BF2"/>
    <w:rsid w:val="73B36974"/>
    <w:rsid w:val="73B52DFF"/>
    <w:rsid w:val="73BE4EB4"/>
    <w:rsid w:val="73DC4C50"/>
    <w:rsid w:val="73F648AF"/>
    <w:rsid w:val="73F8607C"/>
    <w:rsid w:val="740022CC"/>
    <w:rsid w:val="74257F85"/>
    <w:rsid w:val="746E36DA"/>
    <w:rsid w:val="74836A59"/>
    <w:rsid w:val="748D1686"/>
    <w:rsid w:val="749C0F67"/>
    <w:rsid w:val="74B530B7"/>
    <w:rsid w:val="74C07CAE"/>
    <w:rsid w:val="74EC45FF"/>
    <w:rsid w:val="751735CE"/>
    <w:rsid w:val="751A73BE"/>
    <w:rsid w:val="755723C0"/>
    <w:rsid w:val="75720710"/>
    <w:rsid w:val="757A60AE"/>
    <w:rsid w:val="75BA46FD"/>
    <w:rsid w:val="75C630A2"/>
    <w:rsid w:val="75C86E1A"/>
    <w:rsid w:val="75E1612D"/>
    <w:rsid w:val="75F776FF"/>
    <w:rsid w:val="760D2FC2"/>
    <w:rsid w:val="761107C1"/>
    <w:rsid w:val="764364A0"/>
    <w:rsid w:val="764566BC"/>
    <w:rsid w:val="765608C9"/>
    <w:rsid w:val="76746FA2"/>
    <w:rsid w:val="769048B8"/>
    <w:rsid w:val="76B949B4"/>
    <w:rsid w:val="76BB279C"/>
    <w:rsid w:val="76F13039"/>
    <w:rsid w:val="77200C8C"/>
    <w:rsid w:val="77287243"/>
    <w:rsid w:val="77383B2B"/>
    <w:rsid w:val="773D7394"/>
    <w:rsid w:val="777728A5"/>
    <w:rsid w:val="77882D05"/>
    <w:rsid w:val="778925D9"/>
    <w:rsid w:val="77955421"/>
    <w:rsid w:val="77B67B60"/>
    <w:rsid w:val="77B77146"/>
    <w:rsid w:val="77B92418"/>
    <w:rsid w:val="77BC650A"/>
    <w:rsid w:val="77BD67D0"/>
    <w:rsid w:val="77C41863"/>
    <w:rsid w:val="77FC724F"/>
    <w:rsid w:val="7802352D"/>
    <w:rsid w:val="78133E0A"/>
    <w:rsid w:val="78151B0D"/>
    <w:rsid w:val="7826607A"/>
    <w:rsid w:val="783E7867"/>
    <w:rsid w:val="784C3D32"/>
    <w:rsid w:val="7855070D"/>
    <w:rsid w:val="786848E4"/>
    <w:rsid w:val="7893266F"/>
    <w:rsid w:val="789D27E0"/>
    <w:rsid w:val="78A3591C"/>
    <w:rsid w:val="78D519BC"/>
    <w:rsid w:val="79183C14"/>
    <w:rsid w:val="79294073"/>
    <w:rsid w:val="79312F28"/>
    <w:rsid w:val="79354B87"/>
    <w:rsid w:val="794C38BE"/>
    <w:rsid w:val="79711956"/>
    <w:rsid w:val="79AC0800"/>
    <w:rsid w:val="79C542E2"/>
    <w:rsid w:val="7A0348C4"/>
    <w:rsid w:val="7A0B3779"/>
    <w:rsid w:val="7A3031E0"/>
    <w:rsid w:val="7A431165"/>
    <w:rsid w:val="7A804167"/>
    <w:rsid w:val="7A8760AF"/>
    <w:rsid w:val="7AB23BF5"/>
    <w:rsid w:val="7AF40B71"/>
    <w:rsid w:val="7AF55C68"/>
    <w:rsid w:val="7B0A57DF"/>
    <w:rsid w:val="7B1B79EC"/>
    <w:rsid w:val="7B1D6C7F"/>
    <w:rsid w:val="7B334D35"/>
    <w:rsid w:val="7B65510B"/>
    <w:rsid w:val="7B66335D"/>
    <w:rsid w:val="7B6A2721"/>
    <w:rsid w:val="7B6F725E"/>
    <w:rsid w:val="7BAA404C"/>
    <w:rsid w:val="7BB35E76"/>
    <w:rsid w:val="7BBA5BAA"/>
    <w:rsid w:val="7BBD2674"/>
    <w:rsid w:val="7BC40083"/>
    <w:rsid w:val="7BDC3B39"/>
    <w:rsid w:val="7BE44282"/>
    <w:rsid w:val="7C305719"/>
    <w:rsid w:val="7C4B2553"/>
    <w:rsid w:val="7C5B064D"/>
    <w:rsid w:val="7C5E5DE2"/>
    <w:rsid w:val="7CAF4890"/>
    <w:rsid w:val="7CAF663E"/>
    <w:rsid w:val="7CB9763A"/>
    <w:rsid w:val="7CD24A22"/>
    <w:rsid w:val="7CF44998"/>
    <w:rsid w:val="7CFA10AF"/>
    <w:rsid w:val="7D821FA4"/>
    <w:rsid w:val="7D8253F9"/>
    <w:rsid w:val="7D83519D"/>
    <w:rsid w:val="7D91104F"/>
    <w:rsid w:val="7DC9119F"/>
    <w:rsid w:val="7DDB4089"/>
    <w:rsid w:val="7DE20C95"/>
    <w:rsid w:val="7DEE6AE3"/>
    <w:rsid w:val="7E0B01EB"/>
    <w:rsid w:val="7E0E3838"/>
    <w:rsid w:val="7E254A57"/>
    <w:rsid w:val="7E332273"/>
    <w:rsid w:val="7EA146AC"/>
    <w:rsid w:val="7EE2719E"/>
    <w:rsid w:val="7EF32997"/>
    <w:rsid w:val="7F087642"/>
    <w:rsid w:val="7F1B445E"/>
    <w:rsid w:val="7F201A75"/>
    <w:rsid w:val="7F5436D8"/>
    <w:rsid w:val="7F547970"/>
    <w:rsid w:val="7F763505"/>
    <w:rsid w:val="7F7818B1"/>
    <w:rsid w:val="7F8F1EB3"/>
    <w:rsid w:val="7F9A1827"/>
    <w:rsid w:val="7F9F0C78"/>
    <w:rsid w:val="7FAE5313"/>
    <w:rsid w:val="7FD0349B"/>
    <w:rsid w:val="7FE664E1"/>
    <w:rsid w:val="7FE9630A"/>
    <w:rsid w:val="7FFF168A"/>
    <w:rsid w:val="FF6EA4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69"/>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70"/>
    <w:qFormat/>
    <w:uiPriority w:val="0"/>
    <w:pPr>
      <w:keepNext/>
      <w:keepLines/>
      <w:adjustRightInd w:val="0"/>
      <w:snapToGrid w:val="0"/>
      <w:spacing w:line="360" w:lineRule="auto"/>
      <w:outlineLvl w:val="1"/>
    </w:pPr>
    <w:rPr>
      <w:rFonts w:ascii="宋体" w:hAnsi="宋体" w:eastAsia="宋体"/>
      <w:b/>
    </w:rPr>
  </w:style>
  <w:style w:type="paragraph" w:styleId="5">
    <w:name w:val="heading 3"/>
    <w:basedOn w:val="1"/>
    <w:next w:val="1"/>
    <w:link w:val="71"/>
    <w:qFormat/>
    <w:uiPriority w:val="0"/>
    <w:pPr>
      <w:keepNext/>
      <w:keepLines/>
      <w:spacing w:before="260" w:beforeLines="0" w:beforeAutospacing="0" w:after="260" w:afterLines="0" w:afterAutospacing="0" w:line="413" w:lineRule="auto"/>
      <w:jc w:val="center"/>
      <w:outlineLvl w:val="2"/>
    </w:pPr>
    <w:rPr>
      <w:b/>
      <w:sz w:val="44"/>
    </w:rPr>
  </w:style>
  <w:style w:type="paragraph" w:styleId="6">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beforeAutospacing="0"/>
    </w:pPr>
    <w:rPr>
      <w:rFonts w:ascii="Arial" w:hAnsi="Arial"/>
      <w:sz w:val="24"/>
    </w:rPr>
  </w:style>
  <w:style w:type="paragraph" w:styleId="20">
    <w:name w:val="annotation text"/>
    <w:basedOn w:val="1"/>
    <w:link w:val="72"/>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link w:val="232"/>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Indent"/>
    <w:basedOn w:val="1"/>
    <w:next w:val="24"/>
    <w:qFormat/>
    <w:uiPriority w:val="0"/>
    <w:pPr>
      <w:spacing w:line="700" w:lineRule="exact"/>
      <w:ind w:left="960"/>
    </w:pPr>
    <w:rPr>
      <w:sz w:val="44"/>
    </w:rPr>
  </w:style>
  <w:style w:type="paragraph" w:styleId="24">
    <w:name w:val="envelope return"/>
    <w:basedOn w:val="1"/>
    <w:semiHidden/>
    <w:qFormat/>
    <w:uiPriority w:val="0"/>
    <w:pPr>
      <w:snapToGrid w:val="0"/>
    </w:pPr>
    <w:rPr>
      <w:rFonts w:ascii="Arial" w:hAnsi="Arial" w:cs="Arial"/>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3"/>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List"/>
    <w:basedOn w:val="1"/>
    <w:semiHidden/>
    <w:qFormat/>
    <w:uiPriority w:val="0"/>
    <w:pPr>
      <w:ind w:left="200" w:hanging="200" w:hangingChars="200"/>
    </w:pPr>
  </w:style>
  <w:style w:type="paragraph" w:styleId="42">
    <w:name w:val="footnote text"/>
    <w:basedOn w:val="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tabs>
        <w:tab w:val="right" w:leader="dot" w:pos="8400"/>
      </w:tabs>
      <w:spacing w:line="440" w:lineRule="exact"/>
      <w:ind w:left="280" w:leftChars="100" w:rightChars="-91"/>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0"/>
    <w:next w:val="20"/>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3"/>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1 Char"/>
    <w:link w:val="3"/>
    <w:qFormat/>
    <w:uiPriority w:val="0"/>
    <w:rPr>
      <w:rFonts w:eastAsia="黑体"/>
      <w:sz w:val="44"/>
    </w:rPr>
  </w:style>
  <w:style w:type="character" w:customStyle="1" w:styleId="70">
    <w:name w:val="标题 2 Char"/>
    <w:link w:val="4"/>
    <w:qFormat/>
    <w:uiPriority w:val="0"/>
    <w:rPr>
      <w:rFonts w:ascii="宋体" w:hAnsi="宋体" w:eastAsia="宋体"/>
      <w:b/>
      <w:kern w:val="2"/>
      <w:sz w:val="28"/>
    </w:rPr>
  </w:style>
  <w:style w:type="character" w:customStyle="1" w:styleId="71">
    <w:name w:val="标题 3 Char"/>
    <w:basedOn w:val="61"/>
    <w:link w:val="5"/>
    <w:qFormat/>
    <w:uiPriority w:val="0"/>
    <w:rPr>
      <w:b/>
      <w:sz w:val="44"/>
    </w:rPr>
  </w:style>
  <w:style w:type="character" w:customStyle="1" w:styleId="72">
    <w:name w:val="批注文字 Char"/>
    <w:link w:val="20"/>
    <w:qFormat/>
    <w:uiPriority w:val="0"/>
    <w:rPr>
      <w:rFonts w:eastAsia="PMingLiU"/>
      <w:sz w:val="24"/>
      <w:lang w:eastAsia="zh-TW"/>
    </w:rPr>
  </w:style>
  <w:style w:type="character" w:customStyle="1" w:styleId="73">
    <w:name w:val="日期 Char"/>
    <w:link w:val="33"/>
    <w:qFormat/>
    <w:uiPriority w:val="0"/>
    <w:rPr>
      <w:kern w:val="2"/>
      <w:sz w:val="28"/>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5">
    <w:name w:val="正文 + 三号 Char"/>
    <w:qFormat/>
    <w:uiPriority w:val="0"/>
    <w:rPr>
      <w:rFonts w:eastAsia="宋体"/>
      <w:kern w:val="2"/>
      <w:sz w:val="21"/>
      <w:lang w:val="en-US" w:eastAsia="zh-CN"/>
    </w:rPr>
  </w:style>
  <w:style w:type="character" w:customStyle="1" w:styleId="76">
    <w:name w:val="content-white1"/>
    <w:qFormat/>
    <w:uiPriority w:val="0"/>
    <w:rPr>
      <w:rFonts w:ascii="_x000B__x000C_" w:hAnsi="_x000B__x000C_"/>
      <w:color w:val="auto"/>
      <w:sz w:val="18"/>
      <w:u w:val="none"/>
    </w:rPr>
  </w:style>
  <w:style w:type="character" w:customStyle="1" w:styleId="77">
    <w:name w:val=" Char Char"/>
    <w:qFormat/>
    <w:uiPriority w:val="0"/>
    <w:rPr>
      <w:rFonts w:ascii="宋体" w:hAnsi="宋体" w:eastAsia="宋体"/>
      <w:kern w:val="2"/>
      <w:sz w:val="24"/>
      <w:lang w:val="en-US" w:eastAsia="zh-CN" w:bidi="ar-SA"/>
    </w:rPr>
  </w:style>
  <w:style w:type="character" w:customStyle="1" w:styleId="78">
    <w:name w:val=" Char Char5"/>
    <w:qFormat/>
    <w:uiPriority w:val="0"/>
    <w:rPr>
      <w:rFonts w:ascii="Arial" w:hAnsi="Arial" w:eastAsia="宋体"/>
      <w:b/>
      <w:smallCaps/>
      <w:kern w:val="28"/>
      <w:sz w:val="36"/>
      <w:lang w:val="en-US" w:eastAsia="en-US"/>
    </w:rPr>
  </w:style>
  <w:style w:type="character" w:customStyle="1" w:styleId="79">
    <w:name w:val=" Char Char4"/>
    <w:qFormat/>
    <w:uiPriority w:val="0"/>
    <w:rPr>
      <w:rFonts w:eastAsia="宋体"/>
      <w:b/>
      <w:kern w:val="2"/>
      <w:sz w:val="21"/>
      <w:lang w:val="en-US" w:eastAsia="zh-CN"/>
    </w:rPr>
  </w:style>
  <w:style w:type="character" w:customStyle="1" w:styleId="80">
    <w:name w:val="样式 宋体"/>
    <w:qFormat/>
    <w:uiPriority w:val="0"/>
    <w:rPr>
      <w:rFonts w:ascii="宋体" w:hAnsi="宋体" w:eastAsia="宋体"/>
      <w:sz w:val="28"/>
    </w:rPr>
  </w:style>
  <w:style w:type="character" w:customStyle="1" w:styleId="81">
    <w:name w:val=" Char Char7"/>
    <w:qFormat/>
    <w:uiPriority w:val="0"/>
    <w:rPr>
      <w:rFonts w:ascii="宋体" w:hAnsi="宋体" w:eastAsia="宋体"/>
      <w:kern w:val="2"/>
      <w:sz w:val="28"/>
    </w:rPr>
  </w:style>
  <w:style w:type="character" w:customStyle="1" w:styleId="82">
    <w:name w:val=" Char Char6"/>
    <w:qFormat/>
    <w:uiPriority w:val="0"/>
    <w:rPr>
      <w:rFonts w:ascii="仿宋_GB2312" w:eastAsia="仿宋_GB2312"/>
      <w:kern w:val="2"/>
      <w:sz w:val="32"/>
    </w:rPr>
  </w:style>
  <w:style w:type="character" w:customStyle="1" w:styleId="83">
    <w:name w:val=" Char Char2"/>
    <w:qFormat/>
    <w:uiPriority w:val="0"/>
    <w:rPr>
      <w:rFonts w:eastAsia="宋体"/>
      <w:kern w:val="2"/>
      <w:sz w:val="18"/>
      <w:lang w:val="en-US" w:eastAsia="zh-CN"/>
    </w:rPr>
  </w:style>
  <w:style w:type="character" w:customStyle="1" w:styleId="84">
    <w:name w:val="font1"/>
    <w:qFormat/>
    <w:uiPriority w:val="0"/>
    <w:rPr>
      <w:color w:val="000000"/>
      <w:sz w:val="18"/>
    </w:rPr>
  </w:style>
  <w:style w:type="character" w:customStyle="1" w:styleId="85">
    <w:name w:val="小 Char"/>
    <w:qFormat/>
    <w:uiPriority w:val="0"/>
    <w:rPr>
      <w:rFonts w:ascii="宋体" w:hAnsi="Courier New" w:eastAsia="宋体"/>
      <w:kern w:val="2"/>
      <w:sz w:val="21"/>
      <w:lang w:val="en-US" w:eastAsia="zh-CN" w:bidi="ar-SA"/>
    </w:rPr>
  </w:style>
  <w:style w:type="character" w:customStyle="1" w:styleId="86">
    <w:name w:val="v151"/>
    <w:qFormat/>
    <w:uiPriority w:val="0"/>
    <w:rPr>
      <w:sz w:val="18"/>
    </w:rPr>
  </w:style>
  <w:style w:type="character" w:customStyle="1" w:styleId="87">
    <w:name w:val="Table Text Char Char Char Char"/>
    <w:qFormat/>
    <w:uiPriority w:val="0"/>
    <w:rPr>
      <w:rFonts w:ascii="Arial" w:hAnsi="Arial"/>
      <w:kern w:val="2"/>
      <w:sz w:val="18"/>
      <w:lang w:val="en-US" w:eastAsia="zh-CN" w:bidi="ar-SA"/>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Table Text Char"/>
    <w:qFormat/>
    <w:uiPriority w:val="0"/>
    <w:rPr>
      <w:rFonts w:ascii="Arial" w:hAnsi="Arial"/>
      <w:kern w:val="2"/>
      <w:sz w:val="18"/>
      <w:lang w:val="en-US" w:eastAsia="zh-CN" w:bidi="ar-SA"/>
    </w:rPr>
  </w:style>
  <w:style w:type="character" w:customStyle="1" w:styleId="90">
    <w:name w:val="文字 Char"/>
    <w:link w:val="91"/>
    <w:qFormat/>
    <w:uiPriority w:val="0"/>
    <w:rPr>
      <w:rFonts w:ascii="宋体" w:eastAsia="宋体"/>
      <w:kern w:val="2"/>
      <w:sz w:val="28"/>
      <w:lang w:val="en-US" w:eastAsia="zh-CN" w:bidi="ar-SA"/>
    </w:rPr>
  </w:style>
  <w:style w:type="paragraph" w:customStyle="1" w:styleId="91">
    <w:name w:val="文字"/>
    <w:basedOn w:val="1"/>
    <w:link w:val="90"/>
    <w:qFormat/>
    <w:uiPriority w:val="0"/>
    <w:pPr>
      <w:tabs>
        <w:tab w:val="left" w:pos="8520"/>
      </w:tabs>
      <w:spacing w:line="312" w:lineRule="auto"/>
      <w:ind w:right="-210" w:firstLine="556"/>
    </w:pPr>
    <w:rPr>
      <w:rFonts w:ascii="宋体"/>
    </w:rPr>
  </w:style>
  <w:style w:type="character" w:customStyle="1" w:styleId="92">
    <w:name w:val="标书正文:  0.74 厘米 Char1"/>
    <w:qFormat/>
    <w:uiPriority w:val="0"/>
    <w:rPr>
      <w:rFonts w:eastAsia="宋体"/>
      <w:kern w:val="2"/>
      <w:sz w:val="24"/>
      <w:lang w:val="en-US" w:eastAsia="zh-CN"/>
    </w:rPr>
  </w:style>
  <w:style w:type="character" w:customStyle="1" w:styleId="93">
    <w:name w:val="crowed11"/>
    <w:qFormat/>
    <w:uiPriority w:val="0"/>
    <w:rPr>
      <w:rFonts w:hint="default" w:ascii="_x000B__x000C_" w:hAnsi="_x000B__x000C_"/>
      <w:sz w:val="24"/>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未命名11"/>
    <w:qFormat/>
    <w:uiPriority w:val="0"/>
    <w:rPr>
      <w:color w:val="77FFFF"/>
      <w:sz w:val="24"/>
    </w:rPr>
  </w:style>
  <w:style w:type="character" w:customStyle="1" w:styleId="96">
    <w:name w:val=" Char Char3"/>
    <w:qFormat/>
    <w:uiPriority w:val="0"/>
    <w:rPr>
      <w:rFonts w:eastAsia="宋体"/>
      <w:kern w:val="2"/>
      <w:sz w:val="18"/>
      <w:lang w:val="en-US" w:eastAsia="zh-CN"/>
    </w:rPr>
  </w:style>
  <w:style w:type="character" w:customStyle="1" w:styleId="97">
    <w:name w:val="top-det1"/>
    <w:qFormat/>
    <w:uiPriority w:val="0"/>
    <w:rPr>
      <w:b/>
      <w:color w:val="000000"/>
    </w:rPr>
  </w:style>
  <w:style w:type="paragraph" w:customStyle="1" w:styleId="9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9">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0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0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2">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03">
    <w:name w:val="标题3——2"/>
    <w:basedOn w:val="5"/>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正文（首行不缩进）"/>
    <w:basedOn w:val="1"/>
    <w:qFormat/>
    <w:uiPriority w:val="0"/>
    <w:pPr>
      <w:autoSpaceDE w:val="0"/>
      <w:autoSpaceDN w:val="0"/>
      <w:adjustRightInd w:val="0"/>
      <w:spacing w:line="360" w:lineRule="auto"/>
      <w:jc w:val="left"/>
    </w:pPr>
    <w:rPr>
      <w:kern w:val="0"/>
      <w:sz w:val="21"/>
    </w:rPr>
  </w:style>
  <w:style w:type="paragraph" w:customStyle="1" w:styleId="106">
    <w:name w:val="1.正文"/>
    <w:basedOn w:val="1"/>
    <w:qFormat/>
    <w:uiPriority w:val="0"/>
    <w:pPr>
      <w:spacing w:line="360" w:lineRule="auto"/>
      <w:ind w:left="540" w:leftChars="225" w:firstLine="540" w:firstLineChars="225"/>
    </w:pPr>
    <w:rPr>
      <w:sz w:val="24"/>
    </w:rPr>
  </w:style>
  <w:style w:type="paragraph" w:customStyle="1" w:styleId="107">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0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9">
    <w:name w:val="Title - Revision"/>
    <w:basedOn w:val="55"/>
    <w:qFormat/>
    <w:uiPriority w:val="0"/>
    <w:pPr>
      <w:spacing w:before="720" w:beforeLines="0" w:beforeAutospacing="0"/>
    </w:pPr>
  </w:style>
  <w:style w:type="paragraph" w:customStyle="1" w:styleId="11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1">
    <w:name w:val="图片文字"/>
    <w:basedOn w:val="1"/>
    <w:qFormat/>
    <w:uiPriority w:val="0"/>
    <w:pPr>
      <w:spacing w:line="240" w:lineRule="atLeast"/>
      <w:jc w:val="center"/>
    </w:pPr>
    <w:rPr>
      <w:sz w:val="21"/>
    </w:rPr>
  </w:style>
  <w:style w:type="paragraph" w:customStyle="1" w:styleId="112">
    <w:name w:val="Table Contents"/>
    <w:basedOn w:val="2"/>
    <w:qFormat/>
    <w:uiPriority w:val="0"/>
    <w:pPr>
      <w:suppressAutoHyphens/>
      <w:jc w:val="left"/>
    </w:pPr>
    <w:rPr>
      <w:rFonts w:ascii="Times New Roman" w:eastAsia="Times New Roman"/>
      <w:kern w:val="0"/>
      <w:sz w:val="24"/>
    </w:rPr>
  </w:style>
  <w:style w:type="paragraph" w:customStyle="1" w:styleId="113">
    <w:name w:val="表格文本"/>
    <w:qFormat/>
    <w:uiPriority w:val="0"/>
    <w:pPr>
      <w:tabs>
        <w:tab w:val="decimal" w:pos="0"/>
      </w:tabs>
    </w:pPr>
    <w:rPr>
      <w:rFonts w:ascii="Arial" w:hAnsi="Arial" w:eastAsia="宋体" w:cs="Times New Roman"/>
      <w:sz w:val="21"/>
      <w:lang w:val="en-US" w:eastAsia="zh-CN" w:bidi="ar-SA"/>
    </w:rPr>
  </w:style>
  <w:style w:type="paragraph" w:customStyle="1" w:styleId="11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5">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6">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7">
    <w:name w:val="Style Heading 3h3Heading 3 - oldLevel 3 HeadH3level_3PIM 3se..."/>
    <w:basedOn w:val="5"/>
    <w:qFormat/>
    <w:uiPriority w:val="0"/>
    <w:pPr>
      <w:numPr>
        <w:ilvl w:val="2"/>
        <w:numId w:val="8"/>
      </w:numPr>
      <w:jc w:val="both"/>
    </w:pPr>
    <w:rPr>
      <w:sz w:val="32"/>
    </w:rPr>
  </w:style>
  <w:style w:type="paragraph" w:customStyle="1" w:styleId="118">
    <w:name w:val="样式3"/>
    <w:basedOn w:val="3"/>
    <w:next w:val="3"/>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标题2"/>
    <w:basedOn w:val="4"/>
    <w:qFormat/>
    <w:uiPriority w:val="0"/>
    <w:pPr>
      <w:keepNext w:val="0"/>
      <w:keepLines w:val="0"/>
      <w:snapToGrid w:val="0"/>
      <w:spacing w:before="0" w:beforeLines="0" w:beforeAutospacing="0" w:after="0" w:afterLines="0" w:afterAutospacing="0"/>
      <w:ind w:firstLine="574" w:firstLineChars="196"/>
      <w:outlineLvl w:val="9"/>
    </w:pPr>
    <w:rPr>
      <w:b w:val="0"/>
      <w:spacing w:val="6"/>
      <w:u w:val="single"/>
    </w:rPr>
  </w:style>
  <w:style w:type="paragraph" w:customStyle="1" w:styleId="121">
    <w:name w:val="首行缩进"/>
    <w:basedOn w:val="1"/>
    <w:qFormat/>
    <w:uiPriority w:val="0"/>
    <w:pPr>
      <w:spacing w:line="360" w:lineRule="auto"/>
      <w:ind w:firstLine="420" w:firstLineChars="200"/>
    </w:pPr>
    <w:rPr>
      <w:sz w:val="21"/>
    </w:rPr>
  </w:style>
  <w:style w:type="paragraph" w:customStyle="1" w:styleId="122">
    <w:name w:val="标准正文"/>
    <w:basedOn w:val="23"/>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3">
    <w:name w:val="表格内文字"/>
    <w:basedOn w:val="31"/>
    <w:qFormat/>
    <w:uiPriority w:val="0"/>
    <w:pPr>
      <w:snapToGrid/>
      <w:spacing w:line="240" w:lineRule="auto"/>
    </w:pPr>
    <w:rPr>
      <w:color w:val="000000"/>
      <w:lang w:val="en-GB"/>
    </w:rPr>
  </w:style>
  <w:style w:type="paragraph" w:customStyle="1" w:styleId="124">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5">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6">
    <w:name w:val="样式 标题 6第五层条 + 三号 段前: 0.5 行"/>
    <w:basedOn w:val="8"/>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9">
    <w:name w:val="关键词"/>
    <w:basedOn w:val="1"/>
    <w:next w:val="1"/>
    <w:qFormat/>
    <w:uiPriority w:val="0"/>
    <w:pPr>
      <w:spacing w:line="360" w:lineRule="auto"/>
    </w:pPr>
    <w:rPr>
      <w:rFonts w:eastAsia="黑体"/>
      <w:sz w:val="20"/>
    </w:rPr>
  </w:style>
  <w:style w:type="paragraph" w:customStyle="1" w:styleId="130">
    <w:name w:val="列表项目"/>
    <w:basedOn w:val="1"/>
    <w:qFormat/>
    <w:uiPriority w:val="0"/>
    <w:pPr>
      <w:numPr>
        <w:ilvl w:val="0"/>
        <w:numId w:val="10"/>
      </w:numPr>
      <w:tabs>
        <w:tab w:val="left" w:pos="420"/>
        <w:tab w:val="clear" w:pos="980"/>
      </w:tabs>
      <w:spacing w:line="288" w:lineRule="auto"/>
      <w:ind w:left="840" w:leftChars="200" w:hanging="420" w:hangingChars="200"/>
    </w:pPr>
    <w:rPr>
      <w:sz w:val="21"/>
    </w:rPr>
  </w:style>
  <w:style w:type="paragraph" w:customStyle="1" w:styleId="131">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32">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3">
    <w:name w:val="00"/>
    <w:basedOn w:val="1"/>
    <w:qFormat/>
    <w:uiPriority w:val="0"/>
    <w:pPr>
      <w:autoSpaceDE w:val="0"/>
      <w:autoSpaceDN w:val="0"/>
      <w:adjustRightInd w:val="0"/>
      <w:jc w:val="left"/>
    </w:pPr>
    <w:rPr>
      <w:rFonts w:ascii="黑体" w:eastAsia="黑体"/>
      <w:b/>
      <w:kern w:val="0"/>
      <w:sz w:val="20"/>
    </w:rPr>
  </w:style>
  <w:style w:type="paragraph" w:customStyle="1" w:styleId="13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5">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6">
    <w:name w:val="正文1"/>
    <w:basedOn w:val="1"/>
    <w:qFormat/>
    <w:uiPriority w:val="0"/>
    <w:pPr>
      <w:spacing w:line="300" w:lineRule="auto"/>
      <w:ind w:firstLine="200" w:firstLineChars="200"/>
    </w:pPr>
    <w:rPr>
      <w:sz w:val="24"/>
    </w:rPr>
  </w:style>
  <w:style w:type="paragraph" w:customStyle="1" w:styleId="137">
    <w:name w:val="标题无"/>
    <w:basedOn w:val="1"/>
    <w:qFormat/>
    <w:uiPriority w:val="0"/>
    <w:pPr>
      <w:spacing w:line="360" w:lineRule="auto"/>
    </w:pPr>
    <w:rPr>
      <w:sz w:val="24"/>
    </w:rPr>
  </w:style>
  <w:style w:type="paragraph" w:customStyle="1" w:styleId="13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40">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4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42">
    <w:name w:val=" Char"/>
    <w:basedOn w:val="1"/>
    <w:qFormat/>
    <w:uiPriority w:val="0"/>
    <w:pPr>
      <w:spacing w:line="240" w:lineRule="atLeast"/>
      <w:ind w:left="420" w:firstLine="420"/>
    </w:pPr>
    <w:rPr>
      <w:kern w:val="0"/>
      <w:sz w:val="21"/>
    </w:rPr>
  </w:style>
  <w:style w:type="paragraph" w:customStyle="1" w:styleId="143">
    <w:name w:val="_Style 142"/>
    <w:qFormat/>
    <w:uiPriority w:val="0"/>
    <w:rPr>
      <w:rFonts w:ascii="Times New Roman" w:hAnsi="Times New Roman" w:eastAsia="宋体" w:cs="Times New Roman"/>
      <w:kern w:val="2"/>
      <w:sz w:val="21"/>
      <w:lang w:val="en-US" w:eastAsia="zh-CN" w:bidi="ar-SA"/>
    </w:rPr>
  </w:style>
  <w:style w:type="paragraph" w:customStyle="1" w:styleId="144">
    <w:name w:val="文章正文"/>
    <w:basedOn w:val="1"/>
    <w:qFormat/>
    <w:uiPriority w:val="0"/>
    <w:pPr>
      <w:ind w:firstLine="560" w:firstLineChars="200"/>
    </w:pPr>
    <w:rPr>
      <w:rFonts w:ascii="仿宋_GB2312" w:hAnsi="宋体" w:eastAsia="仿宋_GB2312"/>
      <w:color w:val="000000"/>
    </w:rPr>
  </w:style>
  <w:style w:type="paragraph" w:customStyle="1" w:styleId="14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7">
    <w:name w:val="编号正文"/>
    <w:basedOn w:val="148"/>
    <w:qFormat/>
    <w:uiPriority w:val="0"/>
    <w:pPr>
      <w:snapToGrid/>
      <w:spacing w:line="360" w:lineRule="auto"/>
      <w:ind w:left="1407" w:hanging="1047"/>
      <w:jc w:val="left"/>
    </w:pPr>
    <w:rPr>
      <w:rFonts w:eastAsia="仿宋_GB2312"/>
    </w:rPr>
  </w:style>
  <w:style w:type="paragraph" w:customStyle="1" w:styleId="14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9">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0">
    <w:name w:val="样式 首行缩进:  0.74 厘米"/>
    <w:basedOn w:val="1"/>
    <w:qFormat/>
    <w:uiPriority w:val="0"/>
    <w:pPr>
      <w:spacing w:line="360" w:lineRule="auto"/>
      <w:ind w:firstLine="420"/>
    </w:pPr>
    <w:rPr>
      <w:sz w:val="24"/>
    </w:rPr>
  </w:style>
  <w:style w:type="paragraph" w:customStyle="1" w:styleId="151">
    <w:name w:val="摘要"/>
    <w:basedOn w:val="1"/>
    <w:next w:val="4"/>
    <w:qFormat/>
    <w:uiPriority w:val="0"/>
    <w:pPr>
      <w:spacing w:line="360" w:lineRule="auto"/>
    </w:pPr>
    <w:rPr>
      <w:rFonts w:eastAsia="黑体"/>
      <w:sz w:val="20"/>
    </w:rPr>
  </w:style>
  <w:style w:type="paragraph" w:customStyle="1" w:styleId="152">
    <w:name w:val="样式 宋体 五号 行距: 单倍行距"/>
    <w:basedOn w:val="1"/>
    <w:qFormat/>
    <w:uiPriority w:val="0"/>
    <w:pPr>
      <w:adjustRightInd w:val="0"/>
      <w:jc w:val="left"/>
    </w:pPr>
    <w:rPr>
      <w:rFonts w:ascii="宋体" w:hAnsi="宋体"/>
      <w:kern w:val="0"/>
      <w:sz w:val="21"/>
    </w:rPr>
  </w:style>
  <w:style w:type="paragraph" w:customStyle="1" w:styleId="153">
    <w:name w:val="样式 行距: 1.5 倍行距1"/>
    <w:basedOn w:val="1"/>
    <w:qFormat/>
    <w:uiPriority w:val="0"/>
    <w:pPr>
      <w:snapToGrid w:val="0"/>
    </w:pPr>
    <w:rPr>
      <w:sz w:val="21"/>
    </w:rPr>
  </w:style>
  <w:style w:type="paragraph" w:customStyle="1" w:styleId="154">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5">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56">
    <w:name w:val="样式 正文缩进正文（首行缩进两字）表正文正文非缩进特点标题4段1 + 首行缩进:  2 字符"/>
    <w:basedOn w:val="16"/>
    <w:qFormat/>
    <w:uiPriority w:val="0"/>
    <w:pPr>
      <w:ind w:firstLine="480" w:firstLineChars="200"/>
    </w:pPr>
  </w:style>
  <w:style w:type="paragraph" w:customStyle="1" w:styleId="15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9">
    <w:name w:val=" Char Char Char"/>
    <w:basedOn w:val="1"/>
    <w:qFormat/>
    <w:uiPriority w:val="0"/>
    <w:rPr>
      <w:rFonts w:ascii="Tahoma" w:hAnsi="Tahoma"/>
      <w:sz w:val="24"/>
    </w:rPr>
  </w:style>
  <w:style w:type="paragraph" w:customStyle="1" w:styleId="160">
    <w:name w:val="样式2"/>
    <w:basedOn w:val="6"/>
    <w:qFormat/>
    <w:uiPriority w:val="0"/>
    <w:pPr>
      <w:numPr>
        <w:ilvl w:val="0"/>
        <w:numId w:val="13"/>
      </w:numPr>
      <w:spacing w:line="400" w:lineRule="exact"/>
      <w:jc w:val="center"/>
      <w:outlineLvl w:val="0"/>
    </w:pPr>
    <w:rPr>
      <w:b w:val="0"/>
      <w:sz w:val="44"/>
    </w:rPr>
  </w:style>
  <w:style w:type="paragraph" w:customStyle="1" w:styleId="161">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62">
    <w:name w:val=" Char Char 字元 字元 字元 Char Char Char Char"/>
    <w:basedOn w:val="1"/>
    <w:qFormat/>
    <w:uiPriority w:val="0"/>
    <w:pPr>
      <w:adjustRightInd w:val="0"/>
      <w:spacing w:line="360" w:lineRule="auto"/>
    </w:pPr>
    <w:rPr>
      <w:kern w:val="0"/>
      <w:sz w:val="24"/>
    </w:rPr>
  </w:style>
  <w:style w:type="paragraph" w:customStyle="1" w:styleId="16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5">
    <w:name w:val=" Char1"/>
    <w:basedOn w:val="1"/>
    <w:qFormat/>
    <w:uiPriority w:val="0"/>
    <w:rPr>
      <w:sz w:val="21"/>
    </w:rPr>
  </w:style>
  <w:style w:type="paragraph" w:customStyle="1" w:styleId="1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7">
    <w:name w:val="表头文本"/>
    <w:qFormat/>
    <w:uiPriority w:val="0"/>
    <w:pPr>
      <w:jc w:val="center"/>
    </w:pPr>
    <w:rPr>
      <w:rFonts w:ascii="Arial" w:hAnsi="Arial" w:eastAsia="宋体" w:cs="Times New Roman"/>
      <w:b/>
      <w:sz w:val="21"/>
      <w:lang w:val="en-US" w:eastAsia="zh-CN" w:bidi="ar-SA"/>
    </w:rPr>
  </w:style>
  <w:style w:type="paragraph" w:customStyle="1" w:styleId="16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9">
    <w:name w:val="内容标题"/>
    <w:basedOn w:val="18"/>
    <w:qFormat/>
    <w:uiPriority w:val="0"/>
    <w:rPr>
      <w:rFonts w:ascii="Tahoma" w:hAnsi="Tahoma"/>
      <w:sz w:val="24"/>
    </w:rPr>
  </w:style>
  <w:style w:type="paragraph" w:customStyle="1" w:styleId="170">
    <w:name w:val="表头样式"/>
    <w:basedOn w:val="1"/>
    <w:qFormat/>
    <w:uiPriority w:val="0"/>
    <w:pPr>
      <w:autoSpaceDE w:val="0"/>
      <w:autoSpaceDN w:val="0"/>
      <w:adjustRightInd w:val="0"/>
      <w:spacing w:line="360" w:lineRule="auto"/>
      <w:jc w:val="left"/>
    </w:pPr>
    <w:rPr>
      <w:b/>
      <w:kern w:val="0"/>
      <w:sz w:val="21"/>
    </w:rPr>
  </w:style>
  <w:style w:type="paragraph" w:customStyle="1" w:styleId="171">
    <w:name w:val="1"/>
    <w:basedOn w:val="1"/>
    <w:qFormat/>
    <w:uiPriority w:val="0"/>
    <w:rPr>
      <w:rFonts w:ascii="Tahoma" w:hAnsi="Tahoma"/>
      <w:sz w:val="24"/>
    </w:rPr>
  </w:style>
  <w:style w:type="paragraph" w:customStyle="1" w:styleId="17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3">
    <w:name w:val="简单回函地址"/>
    <w:basedOn w:val="1"/>
    <w:qFormat/>
    <w:uiPriority w:val="0"/>
    <w:pPr>
      <w:adjustRightInd w:val="0"/>
      <w:snapToGrid w:val="0"/>
      <w:spacing w:line="360" w:lineRule="auto"/>
    </w:pPr>
    <w:rPr>
      <w:sz w:val="24"/>
    </w:rPr>
  </w:style>
  <w:style w:type="paragraph" w:customStyle="1" w:styleId="174">
    <w:name w:val="正文 + 三号"/>
    <w:basedOn w:val="1"/>
    <w:qFormat/>
    <w:uiPriority w:val="0"/>
    <w:rPr>
      <w:rFonts w:eastAsia="宋体"/>
      <w:kern w:val="2"/>
      <w:sz w:val="21"/>
      <w:lang w:val="en-US" w:eastAsia="zh-CN"/>
    </w:rPr>
  </w:style>
  <w:style w:type="paragraph" w:customStyle="1" w:styleId="17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7">
    <w:name w:val="默认段落字体 Para Char Char Char Char Char Char Char"/>
    <w:basedOn w:val="1"/>
    <w:qFormat/>
    <w:uiPriority w:val="0"/>
    <w:rPr>
      <w:rFonts w:ascii="Tahoma" w:hAnsi="Tahoma"/>
      <w:sz w:val="24"/>
    </w:rPr>
  </w:style>
  <w:style w:type="paragraph" w:customStyle="1" w:styleId="178">
    <w:name w:val="正文表格"/>
    <w:basedOn w:val="1"/>
    <w:qFormat/>
    <w:uiPriority w:val="0"/>
    <w:pPr>
      <w:adjustRightInd w:val="0"/>
      <w:spacing w:before="40" w:beforeLines="0" w:beforeAutospacing="0" w:after="40" w:afterLines="0" w:afterAutospacing="0"/>
    </w:pPr>
    <w:rPr>
      <w:sz w:val="24"/>
    </w:rPr>
  </w:style>
  <w:style w:type="paragraph" w:customStyle="1" w:styleId="179">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8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1">
    <w:name w:val="Title - Date"/>
    <w:basedOn w:val="55"/>
    <w:next w:val="1"/>
    <w:qFormat/>
    <w:uiPriority w:val="0"/>
    <w:pPr>
      <w:spacing w:before="240" w:beforeLines="0" w:beforeAutospacing="0" w:after="720" w:afterLines="0" w:afterAutospacing="0"/>
    </w:pPr>
    <w:rPr>
      <w:sz w:val="28"/>
    </w:rPr>
  </w:style>
  <w:style w:type="paragraph" w:customStyle="1" w:styleId="18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6">
    <w:name w:val=" Char Char Char Char Char"/>
    <w:basedOn w:val="1"/>
    <w:qFormat/>
    <w:uiPriority w:val="0"/>
    <w:pPr>
      <w:numPr>
        <w:ilvl w:val="0"/>
        <w:numId w:val="8"/>
      </w:numPr>
    </w:pPr>
    <w:rPr>
      <w:rFonts w:ascii="Tahoma" w:hAnsi="Tahoma"/>
      <w:sz w:val="24"/>
    </w:rPr>
  </w:style>
  <w:style w:type="paragraph" w:customStyle="1" w:styleId="187">
    <w:name w:val="章标题"/>
    <w:next w:val="1"/>
    <w:qFormat/>
    <w:uiPriority w:val="0"/>
    <w:pPr>
      <w:numPr>
        <w:ilvl w:val="1"/>
        <w:numId w:val="1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88">
    <w:name w:val=" Char1 Char Char Char"/>
    <w:basedOn w:val="1"/>
    <w:qFormat/>
    <w:uiPriority w:val="0"/>
    <w:rPr>
      <w:rFonts w:ascii="Tahoma" w:hAnsi="Tahoma"/>
      <w:sz w:val="24"/>
    </w:rPr>
  </w:style>
  <w:style w:type="paragraph" w:customStyle="1" w:styleId="189">
    <w:name w:val="样式 标题 1 + 居中 段前: 6 磅 段后: 6 磅 行距: 1.5 倍行距"/>
    <w:basedOn w:val="3"/>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90">
    <w:name w:val="样式4"/>
    <w:basedOn w:val="6"/>
    <w:qFormat/>
    <w:uiPriority w:val="0"/>
    <w:pPr>
      <w:numPr>
        <w:ilvl w:val="0"/>
        <w:numId w:val="0"/>
      </w:numPr>
      <w:adjustRightInd w:val="0"/>
      <w:snapToGrid w:val="0"/>
      <w:spacing w:before="280" w:beforeLines="0" w:beforeAutospacing="0" w:line="372" w:lineRule="auto"/>
    </w:pPr>
  </w:style>
  <w:style w:type="paragraph" w:customStyle="1" w:styleId="191">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92">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6">
    <w:name w:val="Char"/>
    <w:basedOn w:val="1"/>
    <w:qFormat/>
    <w:uiPriority w:val="0"/>
    <w:pPr>
      <w:widowControl/>
      <w:spacing w:line="400" w:lineRule="exact"/>
      <w:jc w:val="center"/>
    </w:pPr>
    <w:rPr>
      <w:sz w:val="24"/>
    </w:rPr>
  </w:style>
  <w:style w:type="paragraph" w:customStyle="1" w:styleId="1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8">
    <w:name w:val="Body Text Indent 2"/>
    <w:basedOn w:val="1"/>
    <w:qFormat/>
    <w:uiPriority w:val="0"/>
    <w:pPr>
      <w:adjustRightInd w:val="0"/>
      <w:spacing w:before="120" w:beforeLines="0" w:beforeAutospacing="0"/>
      <w:ind w:firstLine="420"/>
      <w:textAlignment w:val="baseline"/>
    </w:pPr>
    <w:rPr>
      <w:sz w:val="24"/>
    </w:rPr>
  </w:style>
  <w:style w:type="paragraph" w:customStyle="1" w:styleId="199">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0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01">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202">
    <w:name w:val="Char1 Char Char Char"/>
    <w:basedOn w:val="1"/>
    <w:qFormat/>
    <w:uiPriority w:val="0"/>
    <w:rPr>
      <w:rFonts w:ascii="Tahoma" w:hAnsi="Tahoma"/>
      <w:sz w:val="21"/>
    </w:rPr>
  </w:style>
  <w:style w:type="paragraph" w:customStyle="1" w:styleId="203">
    <w:name w:val="Char Char Char Char Char Char Char"/>
    <w:basedOn w:val="18"/>
    <w:qFormat/>
    <w:uiPriority w:val="0"/>
    <w:rPr>
      <w:rFonts w:ascii="宋体" w:hAnsi="Tahoma"/>
    </w:rPr>
  </w:style>
  <w:style w:type="paragraph" w:customStyle="1" w:styleId="204">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5">
    <w:name w:val="样式1"/>
    <w:basedOn w:val="6"/>
    <w:qFormat/>
    <w:uiPriority w:val="0"/>
    <w:pPr>
      <w:spacing w:before="500" w:beforeLines="0" w:after="260" w:afterLines="0" w:line="560" w:lineRule="atLeast"/>
    </w:pPr>
  </w:style>
  <w:style w:type="paragraph" w:customStyle="1" w:styleId="206">
    <w:name w:val="二级列表"/>
    <w:basedOn w:val="194"/>
    <w:next w:val="194"/>
    <w:qFormat/>
    <w:uiPriority w:val="0"/>
    <w:pPr>
      <w:tabs>
        <w:tab w:val="left" w:pos="2120"/>
      </w:tabs>
      <w:ind w:firstLine="0" w:firstLineChars="0"/>
    </w:pPr>
    <w:rPr>
      <w:b/>
    </w:rPr>
  </w:style>
  <w:style w:type="paragraph" w:customStyle="1" w:styleId="207">
    <w:name w:val="可研正文"/>
    <w:basedOn w:val="2"/>
    <w:qFormat/>
    <w:uiPriority w:val="0"/>
    <w:pPr>
      <w:adjustRightInd w:val="0"/>
      <w:snapToGrid w:val="0"/>
      <w:spacing w:line="440" w:lineRule="exact"/>
      <w:ind w:firstLine="567"/>
    </w:pPr>
    <w:rPr>
      <w:sz w:val="28"/>
    </w:rPr>
  </w:style>
  <w:style w:type="paragraph" w:customStyle="1" w:styleId="208">
    <w:name w:val="默认段落字体 Para Char Char Char Char Char Char Char Char Char1 Char Char Char Char"/>
    <w:basedOn w:val="1"/>
    <w:qFormat/>
    <w:uiPriority w:val="0"/>
    <w:rPr>
      <w:rFonts w:ascii="Tahoma" w:hAnsi="Tahoma"/>
      <w:sz w:val="24"/>
    </w:rPr>
  </w:style>
  <w:style w:type="paragraph" w:customStyle="1" w:styleId="209">
    <w:name w:val=" Char Char1 Char"/>
    <w:basedOn w:val="1"/>
    <w:qFormat/>
    <w:uiPriority w:val="0"/>
    <w:rPr>
      <w:rFonts w:ascii="Tahoma" w:hAnsi="Tahoma"/>
      <w:sz w:val="24"/>
      <w:szCs w:val="24"/>
    </w:rPr>
  </w:style>
  <w:style w:type="paragraph" w:customStyle="1" w:styleId="210">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11">
    <w:name w:val="Note"/>
    <w:basedOn w:val="1"/>
    <w:qFormat/>
    <w:uiPriority w:val="0"/>
    <w:pPr>
      <w:pBdr>
        <w:top w:val="single" w:color="auto" w:sz="12" w:space="3"/>
        <w:bottom w:val="single" w:color="auto" w:sz="12" w:space="3"/>
      </w:pBdr>
      <w:spacing w:line="360" w:lineRule="auto"/>
    </w:pPr>
    <w:rPr>
      <w:sz w:val="24"/>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6">
    <w:name w:val="样式1xz"/>
    <w:basedOn w:val="1"/>
    <w:qFormat/>
    <w:uiPriority w:val="0"/>
    <w:pPr>
      <w:tabs>
        <w:tab w:val="left" w:pos="1050"/>
        <w:tab w:val="right" w:leader="dot" w:pos="8296"/>
      </w:tabs>
    </w:pPr>
    <w:rPr>
      <w:caps/>
      <w:spacing w:val="20"/>
      <w:sz w:val="24"/>
    </w:rPr>
  </w:style>
  <w:style w:type="paragraph" w:customStyle="1" w:styleId="217">
    <w:name w:val="IN Feature"/>
    <w:next w:val="17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8">
    <w:name w:val="首行缩进 1"/>
    <w:basedOn w:val="1"/>
    <w:qFormat/>
    <w:uiPriority w:val="0"/>
    <w:pPr>
      <w:spacing w:after="120" w:afterLines="0" w:afterAutospacing="0" w:line="360" w:lineRule="auto"/>
      <w:ind w:firstLine="200" w:firstLineChars="200"/>
    </w:pPr>
    <w:rPr>
      <w:sz w:val="24"/>
    </w:rPr>
  </w:style>
  <w:style w:type="paragraph" w:customStyle="1" w:styleId="219">
    <w:name w:val="表文字"/>
    <w:qFormat/>
    <w:uiPriority w:val="0"/>
    <w:rPr>
      <w:rFonts w:ascii="宋体" w:hAnsi="Times New Roman" w:eastAsia="宋体" w:cs="Times New Roman"/>
      <w:kern w:val="2"/>
      <w:lang w:val="en-US" w:eastAsia="zh-CN" w:bidi="ar-SA"/>
    </w:rPr>
  </w:style>
  <w:style w:type="character" w:customStyle="1" w:styleId="220">
    <w:name w:val="批注文字 Char1"/>
    <w:qFormat/>
    <w:uiPriority w:val="0"/>
    <w:rPr>
      <w:rFonts w:eastAsia="PMingLiU"/>
      <w:sz w:val="24"/>
      <w:lang w:eastAsia="zh-TW"/>
    </w:rPr>
  </w:style>
  <w:style w:type="paragraph" w:customStyle="1" w:styleId="221">
    <w:name w:val="正文 A"/>
    <w:qFormat/>
    <w:uiPriority w:val="0"/>
    <w:pPr>
      <w:widowControl w:val="0"/>
      <w:jc w:val="both"/>
    </w:pPr>
    <w:rPr>
      <w:rFonts w:ascii="Calibri" w:hAnsi="Calibri" w:eastAsia="Times New Roman" w:cs="Times New Roman"/>
      <w:color w:val="000000"/>
      <w:kern w:val="2"/>
      <w:sz w:val="28"/>
      <w:szCs w:val="28"/>
      <w:u w:val="none" w:color="000000"/>
      <w:lang w:val="en-US" w:eastAsia="zh-CN" w:bidi="ar-SA"/>
    </w:rPr>
  </w:style>
  <w:style w:type="paragraph" w:customStyle="1" w:styleId="222">
    <w:name w:val="电建正文"/>
    <w:basedOn w:val="223"/>
    <w:qFormat/>
    <w:uiPriority w:val="0"/>
    <w:pPr>
      <w:tabs>
        <w:tab w:val="left" w:pos="720"/>
      </w:tabs>
      <w:spacing w:line="360" w:lineRule="auto"/>
      <w:ind w:firstLine="200" w:firstLineChars="200"/>
    </w:pPr>
    <w:rPr>
      <w:rFonts w:ascii="Tahoma" w:hAnsi="Tahoma"/>
      <w:sz w:val="24"/>
    </w:rPr>
  </w:style>
  <w:style w:type="paragraph" w:customStyle="1" w:styleId="223">
    <w:name w:val="List First"/>
    <w:basedOn w:val="41"/>
    <w:next w:val="41"/>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224">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225">
    <w:name w:val="16"/>
    <w:qFormat/>
    <w:uiPriority w:val="0"/>
    <w:rPr>
      <w:rFonts w:hint="eastAsia" w:ascii="宋体" w:hAnsi="宋体" w:eastAsia="Times New Roman"/>
      <w:spacing w:val="0"/>
      <w:sz w:val="20"/>
      <w:szCs w:val="20"/>
      <w:shd w:val="clear" w:color="auto" w:fill="FFFFFF"/>
    </w:rPr>
  </w:style>
  <w:style w:type="paragraph" w:customStyle="1" w:styleId="226">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227">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228">
    <w:name w:val="附件"/>
    <w:basedOn w:val="229"/>
    <w:next w:val="1"/>
    <w:qFormat/>
    <w:uiPriority w:val="0"/>
    <w:pPr>
      <w:tabs>
        <w:tab w:val="right" w:leader="dot" w:pos="9402"/>
      </w:tabs>
      <w:spacing w:line="400" w:lineRule="exact"/>
      <w:jc w:val="center"/>
      <w:outlineLvl w:val="0"/>
    </w:pPr>
    <w:rPr>
      <w:rFonts w:ascii="Times New Roman" w:hAnsi="Times New Roman" w:eastAsia="方正黑体_GBK" w:cs="Times New Roman"/>
      <w:bCs/>
      <w:smallCaps/>
      <w:kern w:val="2"/>
      <w:sz w:val="28"/>
      <w:lang w:val="en-US" w:eastAsia="zh-CN" w:bidi="ar-SA"/>
    </w:rPr>
  </w:style>
  <w:style w:type="paragraph" w:customStyle="1" w:styleId="229">
    <w:name w:val="招标节"/>
    <w:basedOn w:val="1"/>
    <w:next w:val="1"/>
    <w:qFormat/>
    <w:uiPriority w:val="0"/>
    <w:pPr>
      <w:spacing w:before="156" w:beforeLines="50" w:after="156" w:afterLines="50"/>
      <w:outlineLvl w:val="1"/>
    </w:pPr>
    <w:rPr>
      <w:rFonts w:ascii="宋体" w:hAnsi="宋体"/>
      <w:b/>
      <w:sz w:val="24"/>
    </w:rPr>
  </w:style>
  <w:style w:type="paragraph" w:customStyle="1" w:styleId="230">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23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32">
    <w:name w:val="正文文本 3 Char"/>
    <w:link w:val="21"/>
    <w:qFormat/>
    <w:uiPriority w:val="0"/>
    <w:rPr>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8075</Words>
  <Characters>8462</Characters>
  <Lines>184</Lines>
  <Paragraphs>51</Paragraphs>
  <TotalTime>0</TotalTime>
  <ScaleCrop>false</ScaleCrop>
  <LinksUpToDate>false</LinksUpToDate>
  <CharactersWithSpaces>8602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2022-09-29T10:42:00Z</dcterms:created>
  <dc:creator>admin</dc:creator>
  <cp:lastModifiedBy>WPS_316522197</cp:lastModifiedBy>
  <cp:lastPrinted>2026-03-18T15:25:00Z</cp:lastPrinted>
  <dcterms:modified xsi:type="dcterms:W3CDTF">2026-04-08T16:39:27Z</dcterms:modified>
  <dc:title>货物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3D62CADA464D4228B8DC312DA875143D_13</vt:lpwstr>
  </property>
  <property fmtid="{D5CDD505-2E9C-101B-9397-08002B2CF9AE}" pid="4" name="KSOTemplateDocerSaveRecord">
    <vt:lpwstr>eyJoZGlkIjoiN2UwYjEyZTRiYmQ3ZWI0MDI2MDU4MDk2ZDJjYjBhNzAiLCJ1c2VySWQiOiIzODE5MDkyOTkifQ==</vt:lpwstr>
  </property>
</Properties>
</file>